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EC1" w:rsidRDefault="00037EC1" w:rsidP="00037EC1">
      <w:pPr>
        <w:pStyle w:val="ab"/>
      </w:pPr>
      <w:r w:rsidRPr="00037EC1">
        <w:rPr>
          <w:rFonts w:hint="eastAsia"/>
        </w:rPr>
        <w:t>台灣電力股份有限公司11</w:t>
      </w:r>
      <w:r w:rsidR="00CB6375">
        <w:rPr>
          <w:rFonts w:hint="eastAsia"/>
        </w:rPr>
        <w:t>3</w:t>
      </w:r>
      <w:r w:rsidRPr="00037EC1">
        <w:rPr>
          <w:rFonts w:hint="eastAsia"/>
        </w:rPr>
        <w:t>年度營業決算評估報告</w:t>
      </w:r>
    </w:p>
    <w:p w:rsidR="00CB6375" w:rsidRDefault="00C94F0F" w:rsidP="00037EC1">
      <w:pPr>
        <w:pStyle w:val="a8"/>
        <w:ind w:firstLine="566"/>
      </w:pPr>
      <w:r w:rsidRPr="00B217EA">
        <w:rPr>
          <w:rFonts w:hint="eastAsia"/>
        </w:rPr>
        <w:t>台灣電力股份有限公司(以下簡稱台電公司)113年度淨發購電量2,544.4</w:t>
      </w:r>
      <w:r w:rsidR="009870D8">
        <w:rPr>
          <w:rFonts w:hint="eastAsia"/>
        </w:rPr>
        <w:t>4</w:t>
      </w:r>
      <w:r w:rsidRPr="00B217EA">
        <w:rPr>
          <w:rFonts w:hint="eastAsia"/>
        </w:rPr>
        <w:t>億度(含自發電量1,720.95億度、購電量793.50億度</w:t>
      </w:r>
      <w:r w:rsidR="009870D8">
        <w:rPr>
          <w:rFonts w:hint="eastAsia"/>
        </w:rPr>
        <w:t>、轉直供電量29.99億度</w:t>
      </w:r>
      <w:r w:rsidRPr="00B217EA">
        <w:rPr>
          <w:rFonts w:hint="eastAsia"/>
        </w:rPr>
        <w:t>)扣減電池及</w:t>
      </w:r>
      <w:r w:rsidR="00C82C05">
        <w:rPr>
          <w:rFonts w:hint="eastAsia"/>
        </w:rPr>
        <w:t>儲能</w:t>
      </w:r>
      <w:r w:rsidRPr="00B217EA">
        <w:rPr>
          <w:rFonts w:hint="eastAsia"/>
        </w:rPr>
        <w:t>用電40.66億度後，全年供電量為2,503.78億度。113年度決算營業收入8,495.66億元，減除營業成本8,559.58億元、營業費用152.84億元後，營業損失為216.77億元，加計營業外</w:t>
      </w:r>
      <w:r w:rsidR="009870D8">
        <w:rPr>
          <w:rFonts w:hint="eastAsia"/>
        </w:rPr>
        <w:t>損失</w:t>
      </w:r>
      <w:r w:rsidRPr="00B217EA">
        <w:rPr>
          <w:rFonts w:hint="eastAsia"/>
        </w:rPr>
        <w:t>175.48億元及所得稅費用0.02億元後，本期淨損392.27億元</w:t>
      </w:r>
      <w:r w:rsidR="00E534FF" w:rsidRPr="00E02455">
        <w:rPr>
          <w:rFonts w:hint="eastAsia"/>
        </w:rPr>
        <w:t>，較預計淨</w:t>
      </w:r>
      <w:r w:rsidR="00E02455" w:rsidRPr="00E02455">
        <w:rPr>
          <w:rFonts w:hint="eastAsia"/>
        </w:rPr>
        <w:t>損1</w:t>
      </w:r>
      <w:r w:rsidR="00E02455" w:rsidRPr="00E02455">
        <w:t>,</w:t>
      </w:r>
      <w:r w:rsidR="00E02455" w:rsidRPr="00E02455">
        <w:rPr>
          <w:rFonts w:hint="eastAsia"/>
        </w:rPr>
        <w:t>634.76</w:t>
      </w:r>
      <w:r w:rsidR="00E534FF" w:rsidRPr="00E02455">
        <w:rPr>
          <w:rFonts w:hint="eastAsia"/>
        </w:rPr>
        <w:t>億元</w:t>
      </w:r>
      <w:r w:rsidR="00E02455" w:rsidRPr="00E02455">
        <w:rPr>
          <w:rFonts w:hint="eastAsia"/>
        </w:rPr>
        <w:t>減少損失1</w:t>
      </w:r>
      <w:r w:rsidR="00E02455" w:rsidRPr="00E02455">
        <w:t>,</w:t>
      </w:r>
      <w:r w:rsidR="00E02455" w:rsidRPr="00E02455">
        <w:rPr>
          <w:rFonts w:hint="eastAsia"/>
        </w:rPr>
        <w:t>242.49</w:t>
      </w:r>
      <w:r w:rsidR="00E534FF" w:rsidRPr="00E02455">
        <w:rPr>
          <w:rFonts w:hint="eastAsia"/>
        </w:rPr>
        <w:t>億元(</w:t>
      </w:r>
      <w:r w:rsidR="00E02455" w:rsidRPr="00E02455">
        <w:rPr>
          <w:rFonts w:hint="eastAsia"/>
        </w:rPr>
        <w:t>減</w:t>
      </w:r>
      <w:r w:rsidR="00E534FF" w:rsidRPr="00E02455">
        <w:rPr>
          <w:rFonts w:hint="eastAsia"/>
        </w:rPr>
        <w:t>幅</w:t>
      </w:r>
      <w:r w:rsidR="00E02455" w:rsidRPr="00E02455">
        <w:rPr>
          <w:rFonts w:hint="eastAsia"/>
        </w:rPr>
        <w:t>76</w:t>
      </w:r>
      <w:r w:rsidR="00E534FF" w:rsidRPr="00E02455">
        <w:rPr>
          <w:rFonts w:hint="eastAsia"/>
        </w:rPr>
        <w:t>.</w:t>
      </w:r>
      <w:r w:rsidR="00E02455" w:rsidRPr="00E02455">
        <w:rPr>
          <w:rFonts w:hint="eastAsia"/>
        </w:rPr>
        <w:t>00</w:t>
      </w:r>
      <w:r w:rsidR="00E534FF" w:rsidRPr="00E02455">
        <w:rPr>
          <w:rFonts w:hint="eastAsia"/>
        </w:rPr>
        <w:t>%)。</w:t>
      </w:r>
      <w:r w:rsidRPr="00B217EA">
        <w:rPr>
          <w:rFonts w:hint="eastAsia"/>
        </w:rPr>
        <w:t>相關問題謹評估如下：</w:t>
      </w:r>
    </w:p>
    <w:p w:rsidR="00B21E40" w:rsidRPr="006B0082" w:rsidRDefault="00B21E40" w:rsidP="00B21E40">
      <w:pPr>
        <w:pStyle w:val="14"/>
        <w:spacing w:beforeLines="100" w:before="500"/>
        <w:ind w:left="567" w:hanging="567"/>
      </w:pPr>
      <w:bookmarkStart w:id="0" w:name="_Toc181628381"/>
      <w:bookmarkStart w:id="1" w:name="_Toc225324441"/>
      <w:r w:rsidRPr="006B0082">
        <w:rPr>
          <w:rFonts w:hint="eastAsia"/>
        </w:rPr>
        <w:t>四、「離岸風力發電第二期計畫」受</w:t>
      </w:r>
      <w:r w:rsidR="001A4880" w:rsidRPr="006B0082">
        <w:rPr>
          <w:rFonts w:hint="eastAsia"/>
        </w:rPr>
        <w:t>施工船舶到港後延、設施受損與氣候</w:t>
      </w:r>
      <w:r w:rsidR="00B52CAA" w:rsidRPr="006B0082">
        <w:rPr>
          <w:rFonts w:hint="eastAsia"/>
        </w:rPr>
        <w:t>等因素</w:t>
      </w:r>
      <w:r w:rsidRPr="006B0082">
        <w:rPr>
          <w:rFonts w:hint="eastAsia"/>
        </w:rPr>
        <w:t>影響，施工進度未如預期，允宜</w:t>
      </w:r>
      <w:r w:rsidR="00B52CAA" w:rsidRPr="006B0082">
        <w:rPr>
          <w:rFonts w:hint="eastAsia"/>
        </w:rPr>
        <w:t>控管期程並積極執行</w:t>
      </w:r>
      <w:r w:rsidRPr="006B0082">
        <w:rPr>
          <w:rFonts w:hint="eastAsia"/>
        </w:rPr>
        <w:t>，俾如期如質達成計畫目標</w:t>
      </w:r>
      <w:bookmarkEnd w:id="0"/>
      <w:bookmarkEnd w:id="1"/>
    </w:p>
    <w:p w:rsidR="00EA1E03" w:rsidRDefault="00EA1E03" w:rsidP="00B21E40">
      <w:pPr>
        <w:ind w:left="566" w:firstLine="566"/>
        <w:rPr>
          <w:rFonts w:hint="eastAsia"/>
        </w:rPr>
      </w:pPr>
      <w:r>
        <w:rPr>
          <w:rFonts w:hint="eastAsia"/>
        </w:rPr>
        <w:t>台電公司113年度固定資產建設改良擴充計畫「</w:t>
      </w:r>
      <w:r w:rsidRPr="0034283B">
        <w:rPr>
          <w:rFonts w:hint="eastAsia"/>
        </w:rPr>
        <w:t>離岸風力發電第二期計畫</w:t>
      </w:r>
      <w:r>
        <w:rPr>
          <w:rFonts w:hint="eastAsia"/>
        </w:rPr>
        <w:t>」</w:t>
      </w:r>
      <w:r w:rsidR="00E31307">
        <w:rPr>
          <w:rFonts w:hint="eastAsia"/>
        </w:rPr>
        <w:t>預算數</w:t>
      </w:r>
      <w:r>
        <w:rPr>
          <w:rFonts w:hint="eastAsia"/>
        </w:rPr>
        <w:t>2</w:t>
      </w:r>
      <w:r w:rsidR="00E31307">
        <w:rPr>
          <w:rFonts w:hint="eastAsia"/>
        </w:rPr>
        <w:t>79</w:t>
      </w:r>
      <w:r>
        <w:rPr>
          <w:rFonts w:hint="eastAsia"/>
        </w:rPr>
        <w:t>億</w:t>
      </w:r>
      <w:r w:rsidR="00E31307">
        <w:rPr>
          <w:rFonts w:hint="eastAsia"/>
        </w:rPr>
        <w:t>9</w:t>
      </w:r>
      <w:r>
        <w:t>,</w:t>
      </w:r>
      <w:r w:rsidR="00E31307">
        <w:rPr>
          <w:rFonts w:hint="eastAsia"/>
        </w:rPr>
        <w:t>928</w:t>
      </w:r>
      <w:r>
        <w:rPr>
          <w:rFonts w:hint="eastAsia"/>
        </w:rPr>
        <w:t>萬5千元，執行結果，決算實現數2</w:t>
      </w:r>
      <w:r w:rsidR="00E31307">
        <w:rPr>
          <w:rFonts w:hint="eastAsia"/>
        </w:rPr>
        <w:t>79</w:t>
      </w:r>
      <w:r>
        <w:rPr>
          <w:rFonts w:hint="eastAsia"/>
        </w:rPr>
        <w:t>億</w:t>
      </w:r>
      <w:r w:rsidR="00E31307">
        <w:rPr>
          <w:rFonts w:hint="eastAsia"/>
        </w:rPr>
        <w:t>5</w:t>
      </w:r>
      <w:r>
        <w:t>,</w:t>
      </w:r>
      <w:r w:rsidR="00E31307">
        <w:rPr>
          <w:rFonts w:hint="eastAsia"/>
        </w:rPr>
        <w:t>996</w:t>
      </w:r>
      <w:r>
        <w:rPr>
          <w:rFonts w:hint="eastAsia"/>
        </w:rPr>
        <w:t>萬</w:t>
      </w:r>
      <w:r w:rsidR="00E31307">
        <w:rPr>
          <w:rFonts w:hint="eastAsia"/>
        </w:rPr>
        <w:t>7</w:t>
      </w:r>
      <w:r>
        <w:rPr>
          <w:rFonts w:hint="eastAsia"/>
        </w:rPr>
        <w:t>千元，預算執行率9</w:t>
      </w:r>
      <w:r>
        <w:t>9.</w:t>
      </w:r>
      <w:r>
        <w:rPr>
          <w:rFonts w:hint="eastAsia"/>
        </w:rPr>
        <w:t>8</w:t>
      </w:r>
      <w:r w:rsidR="009870D8">
        <w:rPr>
          <w:rFonts w:hint="eastAsia"/>
        </w:rPr>
        <w:t>6</w:t>
      </w:r>
      <w:r>
        <w:rPr>
          <w:rFonts w:hint="eastAsia"/>
        </w:rPr>
        <w:t>%</w:t>
      </w:r>
      <w:r w:rsidR="001A4880">
        <w:rPr>
          <w:rFonts w:hint="eastAsia"/>
        </w:rPr>
        <w:t>，惟施工進度未如預期，</w:t>
      </w:r>
      <w:r>
        <w:rPr>
          <w:rFonts w:hint="eastAsia"/>
        </w:rPr>
        <w:t>謹說明如下：</w:t>
      </w:r>
    </w:p>
    <w:p w:rsidR="00B21E40" w:rsidRDefault="00B21E40" w:rsidP="00B21E40">
      <w:pPr>
        <w:pStyle w:val="a4"/>
        <w:ind w:left="849" w:hanging="283"/>
        <w:rPr>
          <w:b/>
        </w:rPr>
      </w:pPr>
      <w:r w:rsidRPr="0034283B">
        <w:rPr>
          <w:rFonts w:hint="eastAsia"/>
          <w:b/>
        </w:rPr>
        <w:t>(一)計畫概述</w:t>
      </w:r>
    </w:p>
    <w:p w:rsidR="00EA1E03" w:rsidRPr="0034283B" w:rsidRDefault="00E31307" w:rsidP="00E31307">
      <w:pPr>
        <w:pStyle w:val="2"/>
        <w:ind w:left="850" w:firstLine="566"/>
        <w:rPr>
          <w:rFonts w:hint="eastAsia"/>
        </w:rPr>
      </w:pPr>
      <w:r w:rsidRPr="00E31307">
        <w:rPr>
          <w:rFonts w:hint="eastAsia"/>
        </w:rPr>
        <w:t>台電公司配合政府能源政策，開發離岸風場發電，替代燃油或燃煤，</w:t>
      </w:r>
      <w:r>
        <w:rPr>
          <w:rFonts w:hint="eastAsia"/>
        </w:rPr>
        <w:t>並減少溫室氣體排放及空氣污染，於彰化外海第26號潛力場址設置總裝置容量294.5千</w:t>
      </w:r>
      <w:r w:rsidRPr="0034283B">
        <w:t>瓩之海上風力發電站</w:t>
      </w:r>
      <w:r>
        <w:rPr>
          <w:rFonts w:hint="eastAsia"/>
        </w:rPr>
        <w:t>，</w:t>
      </w:r>
      <w:r w:rsidRPr="0034283B">
        <w:rPr>
          <w:rFonts w:hint="eastAsia"/>
        </w:rPr>
        <w:t>辦理期程108年4月</w:t>
      </w:r>
      <w:r w:rsidRPr="0034283B">
        <w:t>至</w:t>
      </w:r>
      <w:r w:rsidRPr="0034283B">
        <w:rPr>
          <w:rFonts w:hint="eastAsia"/>
        </w:rPr>
        <w:t>114年1</w:t>
      </w:r>
      <w:r w:rsidRPr="0034283B">
        <w:t>2</w:t>
      </w:r>
      <w:r w:rsidRPr="0034283B">
        <w:rPr>
          <w:rFonts w:hint="eastAsia"/>
        </w:rPr>
        <w:t>月，總經費5</w:t>
      </w:r>
      <w:r w:rsidRPr="0034283B">
        <w:t>73.24</w:t>
      </w:r>
      <w:r w:rsidRPr="0034283B">
        <w:rPr>
          <w:rFonts w:hint="eastAsia"/>
        </w:rPr>
        <w:t>億元。</w:t>
      </w:r>
      <w:r w:rsidR="001A4880" w:rsidRPr="00E31307">
        <w:rPr>
          <w:rStyle w:val="23"/>
        </w:rPr>
        <w:t>本計畫</w:t>
      </w:r>
      <w:r w:rsidR="001A4880" w:rsidRPr="00E31307">
        <w:rPr>
          <w:rStyle w:val="23"/>
          <w:rFonts w:hint="eastAsia"/>
        </w:rPr>
        <w:t>辦理期間受</w:t>
      </w:r>
      <w:r w:rsidR="009870D8">
        <w:rPr>
          <w:rStyle w:val="23"/>
          <w:rFonts w:hint="eastAsia"/>
        </w:rPr>
        <w:t>嚴重特殊傳染性肺炎(</w:t>
      </w:r>
      <w:r w:rsidR="001A4880" w:rsidRPr="00E31307">
        <w:rPr>
          <w:rStyle w:val="23"/>
          <w:rFonts w:hint="eastAsia"/>
        </w:rPr>
        <w:t>C</w:t>
      </w:r>
      <w:r w:rsidR="001A4880" w:rsidRPr="00E31307">
        <w:rPr>
          <w:rStyle w:val="23"/>
        </w:rPr>
        <w:t>OVID-19</w:t>
      </w:r>
      <w:r w:rsidR="009870D8">
        <w:rPr>
          <w:rStyle w:val="23"/>
          <w:rFonts w:hint="eastAsia"/>
        </w:rPr>
        <w:t>)</w:t>
      </w:r>
      <w:r w:rsidR="004267F8">
        <w:rPr>
          <w:rStyle w:val="23"/>
          <w:rFonts w:hint="eastAsia"/>
        </w:rPr>
        <w:t>疫情及颱風等影響</w:t>
      </w:r>
      <w:r w:rsidR="001A4880" w:rsidRPr="00E31307">
        <w:rPr>
          <w:rStyle w:val="23"/>
          <w:rFonts w:hint="eastAsia"/>
        </w:rPr>
        <w:t>，離岸風場建置所須船舶及人員須配合檢疫調度與防颱，無法施工，海域工程安裝進度嚴重落後，台電公司</w:t>
      </w:r>
      <w:r w:rsidR="004267F8">
        <w:rPr>
          <w:rStyle w:val="23"/>
          <w:rFonts w:hint="eastAsia"/>
        </w:rPr>
        <w:t>爰</w:t>
      </w:r>
      <w:r w:rsidR="001A4880" w:rsidRPr="00E31307">
        <w:rPr>
          <w:rStyle w:val="23"/>
          <w:rFonts w:hint="eastAsia"/>
        </w:rPr>
        <w:t>分別於1</w:t>
      </w:r>
      <w:r w:rsidR="001A4880" w:rsidRPr="00E31307">
        <w:rPr>
          <w:rStyle w:val="23"/>
        </w:rPr>
        <w:t>10</w:t>
      </w:r>
      <w:r w:rsidR="001A4880" w:rsidRPr="00E31307">
        <w:rPr>
          <w:rStyle w:val="23"/>
          <w:rFonts w:hint="eastAsia"/>
        </w:rPr>
        <w:t>年9月及11</w:t>
      </w:r>
      <w:r w:rsidR="001A4880" w:rsidRPr="00E31307">
        <w:rPr>
          <w:rStyle w:val="23"/>
        </w:rPr>
        <w:t>2</w:t>
      </w:r>
      <w:r w:rsidR="001A4880" w:rsidRPr="00E31307">
        <w:rPr>
          <w:rStyle w:val="23"/>
          <w:rFonts w:hint="eastAsia"/>
        </w:rPr>
        <w:t>年1</w:t>
      </w:r>
      <w:r w:rsidR="001A4880" w:rsidRPr="00E31307">
        <w:rPr>
          <w:rStyle w:val="23"/>
        </w:rPr>
        <w:t>0</w:t>
      </w:r>
      <w:r w:rsidR="001A4880" w:rsidRPr="00E31307">
        <w:rPr>
          <w:rStyle w:val="23"/>
          <w:rFonts w:hint="eastAsia"/>
        </w:rPr>
        <w:t>月間辦理計畫修正，調整里程碑及分年進</w:t>
      </w:r>
      <w:r w:rsidR="001A4880" w:rsidRPr="00E31307">
        <w:rPr>
          <w:rStyle w:val="23"/>
          <w:rFonts w:hint="eastAsia"/>
        </w:rPr>
        <w:lastRenderedPageBreak/>
        <w:t>度，投資總額及計畫期程均不變。</w:t>
      </w:r>
    </w:p>
    <w:p w:rsidR="001A4880" w:rsidRDefault="00B21E40" w:rsidP="00B21E40">
      <w:pPr>
        <w:pStyle w:val="a4"/>
        <w:ind w:left="849" w:hanging="283"/>
        <w:rPr>
          <w:b/>
        </w:rPr>
      </w:pPr>
      <w:r w:rsidRPr="0034283B">
        <w:rPr>
          <w:rFonts w:hint="eastAsia"/>
          <w:b/>
        </w:rPr>
        <w:t>(二)</w:t>
      </w:r>
      <w:r>
        <w:rPr>
          <w:rFonts w:hint="eastAsia"/>
          <w:b/>
        </w:rPr>
        <w:t>本計畫</w:t>
      </w:r>
      <w:r w:rsidRPr="0034283B">
        <w:rPr>
          <w:rFonts w:hint="eastAsia"/>
          <w:b/>
        </w:rPr>
        <w:t>受</w:t>
      </w:r>
      <w:r w:rsidR="001A4880">
        <w:rPr>
          <w:rFonts w:hint="eastAsia"/>
          <w:b/>
        </w:rPr>
        <w:t>動工許可、施工船舶到港後延、設施受損與氣候因素，致實際施工進度落後10.62個百分點</w:t>
      </w:r>
    </w:p>
    <w:p w:rsidR="00D24E67" w:rsidRDefault="00B21E40" w:rsidP="001A4880">
      <w:pPr>
        <w:pStyle w:val="2"/>
        <w:ind w:left="850" w:firstLine="566"/>
        <w:rPr>
          <w:rFonts w:hint="eastAsia"/>
        </w:rPr>
      </w:pPr>
      <w:r w:rsidRPr="0034283B">
        <w:rPr>
          <w:rFonts w:hint="eastAsia"/>
        </w:rPr>
        <w:t>依台電公司規劃</w:t>
      </w:r>
      <w:r>
        <w:rPr>
          <w:rFonts w:hint="eastAsia"/>
        </w:rPr>
        <w:t>，</w:t>
      </w:r>
      <w:r w:rsidRPr="0034283B">
        <w:rPr>
          <w:rFonts w:hint="eastAsia"/>
        </w:rPr>
        <w:t>本計畫海域工程訂於1</w:t>
      </w:r>
      <w:r w:rsidRPr="0034283B">
        <w:t>13</w:t>
      </w:r>
      <w:r w:rsidRPr="0034283B">
        <w:rPr>
          <w:rFonts w:hint="eastAsia"/>
        </w:rPr>
        <w:t>年</w:t>
      </w:r>
      <w:r w:rsidRPr="0034283B">
        <w:t>3</w:t>
      </w:r>
      <w:r w:rsidRPr="0034283B">
        <w:rPr>
          <w:rFonts w:hint="eastAsia"/>
        </w:rPr>
        <w:t>月動工，</w:t>
      </w:r>
      <w:r>
        <w:rPr>
          <w:rFonts w:hint="eastAsia"/>
        </w:rPr>
        <w:t>同年</w:t>
      </w:r>
      <w:r w:rsidRPr="0034283B">
        <w:rPr>
          <w:rFonts w:hint="eastAsia"/>
        </w:rPr>
        <w:t>5月</w:t>
      </w:r>
      <w:r w:rsidRPr="0034283B">
        <w:t>底</w:t>
      </w:r>
      <w:r w:rsidRPr="0034283B">
        <w:rPr>
          <w:rFonts w:hint="eastAsia"/>
        </w:rPr>
        <w:t>完</w:t>
      </w:r>
      <w:r w:rsidRPr="0034283B">
        <w:t>成第</w:t>
      </w:r>
      <w:r w:rsidRPr="0034283B">
        <w:rPr>
          <w:rFonts w:hint="eastAsia"/>
        </w:rPr>
        <w:t>1部風</w:t>
      </w:r>
      <w:r w:rsidRPr="0034283B">
        <w:t>機基樁安裝，</w:t>
      </w:r>
      <w:r w:rsidRPr="0034283B">
        <w:rPr>
          <w:rFonts w:hint="eastAsia"/>
        </w:rPr>
        <w:t>9月完成水下基礎安裝</w:t>
      </w:r>
      <w:r w:rsidRPr="0034283B">
        <w:rPr>
          <w:rStyle w:val="af7"/>
        </w:rPr>
        <w:footnoteReference w:id="1"/>
      </w:r>
      <w:r w:rsidRPr="0034283B">
        <w:rPr>
          <w:rFonts w:hint="eastAsia"/>
        </w:rPr>
        <w:t>，</w:t>
      </w:r>
      <w:r w:rsidR="001A4880">
        <w:rPr>
          <w:rFonts w:hint="eastAsia"/>
        </w:rPr>
        <w:t>預計1</w:t>
      </w:r>
      <w:r w:rsidR="001A4880">
        <w:t>1</w:t>
      </w:r>
      <w:r w:rsidR="001A4880">
        <w:rPr>
          <w:rFonts w:hint="eastAsia"/>
        </w:rPr>
        <w:t>3年底工程進度81.39</w:t>
      </w:r>
      <w:r w:rsidR="001A4880">
        <w:t>%</w:t>
      </w:r>
      <w:r w:rsidR="001A4880">
        <w:rPr>
          <w:rFonts w:hint="eastAsia"/>
        </w:rPr>
        <w:t>，惟實際工程進度70.77</w:t>
      </w:r>
      <w:r w:rsidR="001A4880">
        <w:t>%</w:t>
      </w:r>
      <w:r w:rsidR="001A4880">
        <w:rPr>
          <w:rFonts w:hint="eastAsia"/>
        </w:rPr>
        <w:t>，落後10.62個百分點。據該公司說明略以，</w:t>
      </w:r>
      <w:r>
        <w:rPr>
          <w:rFonts w:hint="eastAsia"/>
        </w:rPr>
        <w:t>動工前</w:t>
      </w:r>
      <w:r w:rsidRPr="0034283B">
        <w:rPr>
          <w:rFonts w:hint="eastAsia"/>
        </w:rPr>
        <w:t>辦理</w:t>
      </w:r>
      <w:r w:rsidRPr="00ED45EE">
        <w:rPr>
          <w:rFonts w:hint="eastAsia"/>
        </w:rPr>
        <w:t>緊急應變</w:t>
      </w:r>
      <w:r>
        <w:rPr>
          <w:rFonts w:hint="eastAsia"/>
        </w:rPr>
        <w:t>計畫申請</w:t>
      </w:r>
      <w:r w:rsidRPr="0034283B">
        <w:rPr>
          <w:rFonts w:hint="eastAsia"/>
        </w:rPr>
        <w:t>，因相關程序未完備，遭主管機關海洋委員會多次要求補正</w:t>
      </w:r>
      <w:r w:rsidRPr="0034283B">
        <w:rPr>
          <w:rStyle w:val="af7"/>
        </w:rPr>
        <w:footnoteReference w:id="2"/>
      </w:r>
      <w:r w:rsidRPr="0034283B">
        <w:rPr>
          <w:rFonts w:hint="eastAsia"/>
        </w:rPr>
        <w:t>，</w:t>
      </w:r>
      <w:r>
        <w:rPr>
          <w:rFonts w:hint="eastAsia"/>
        </w:rPr>
        <w:t>直</w:t>
      </w:r>
      <w:r w:rsidRPr="0034283B">
        <w:rPr>
          <w:rFonts w:hint="eastAsia"/>
        </w:rPr>
        <w:t>至1</w:t>
      </w:r>
      <w:r w:rsidRPr="0034283B">
        <w:t>13</w:t>
      </w:r>
      <w:r w:rsidRPr="0034283B">
        <w:rPr>
          <w:rFonts w:hint="eastAsia"/>
        </w:rPr>
        <w:t>年5月始獲許可，</w:t>
      </w:r>
      <w:r w:rsidR="009870D8">
        <w:rPr>
          <w:rFonts w:hint="eastAsia"/>
        </w:rPr>
        <w:t>致</w:t>
      </w:r>
      <w:r>
        <w:rPr>
          <w:rFonts w:hint="eastAsia"/>
        </w:rPr>
        <w:t>影響後續</w:t>
      </w:r>
      <w:r w:rsidRPr="0034283B">
        <w:rPr>
          <w:rFonts w:hint="eastAsia"/>
        </w:rPr>
        <w:t>施工進度</w:t>
      </w:r>
      <w:r w:rsidR="001A4880">
        <w:rPr>
          <w:rFonts w:hint="eastAsia"/>
        </w:rPr>
        <w:t>；另</w:t>
      </w:r>
      <w:r w:rsidR="00D24E67">
        <w:rPr>
          <w:rFonts w:hint="eastAsia"/>
        </w:rPr>
        <w:t>113年施工船延誤到港、主吊臂因強風受損及東北季風及颱風侵襲</w:t>
      </w:r>
      <w:r w:rsidR="001A4880">
        <w:rPr>
          <w:rFonts w:hint="eastAsia"/>
        </w:rPr>
        <w:t>亦</w:t>
      </w:r>
      <w:r w:rsidR="00D24E67">
        <w:rPr>
          <w:rFonts w:hint="eastAsia"/>
        </w:rPr>
        <w:t>影響海事工程</w:t>
      </w:r>
      <w:r w:rsidR="002B27B0">
        <w:rPr>
          <w:rFonts w:hint="eastAsia"/>
        </w:rPr>
        <w:t>之進行</w:t>
      </w:r>
      <w:r w:rsidR="001A4880">
        <w:rPr>
          <w:rFonts w:hint="eastAsia"/>
        </w:rPr>
        <w:t>。據台電公司說明略以</w:t>
      </w:r>
      <w:r w:rsidR="002B27B0">
        <w:rPr>
          <w:rFonts w:hint="eastAsia"/>
        </w:rPr>
        <w:t>，已針對重點工項增加海事工程支援施工船舶，</w:t>
      </w:r>
      <w:r w:rsidR="00B573E1">
        <w:rPr>
          <w:rFonts w:hint="eastAsia"/>
        </w:rPr>
        <w:t>並修復主吊臂，</w:t>
      </w:r>
      <w:r w:rsidR="002B27B0">
        <w:rPr>
          <w:rFonts w:hint="eastAsia"/>
        </w:rPr>
        <w:t>持續觀察合適天氣，</w:t>
      </w:r>
      <w:r w:rsidR="001A4880">
        <w:rPr>
          <w:rFonts w:hint="eastAsia"/>
        </w:rPr>
        <w:t>俾</w:t>
      </w:r>
      <w:r w:rsidR="002B27B0">
        <w:rPr>
          <w:rFonts w:hint="eastAsia"/>
        </w:rPr>
        <w:t>於可工作日進行水下基礎安裝作業。</w:t>
      </w:r>
    </w:p>
    <w:p w:rsidR="00085499" w:rsidRDefault="002B27B0" w:rsidP="0014630C">
      <w:pPr>
        <w:ind w:left="566" w:firstLine="566"/>
        <w:rPr>
          <w:rFonts w:hint="eastAsia"/>
          <w:color w:val="2E74B5"/>
        </w:rPr>
      </w:pPr>
      <w:r w:rsidRPr="002B27B0">
        <w:rPr>
          <w:rFonts w:hint="eastAsia"/>
        </w:rPr>
        <w:t>綜上，台電公司113年度辦理之「離岸風力發電第二期計畫」係配合能源政策開發離岸風場發電以替代火力發電，減少碳排及空氣污染，惟因施工船舶延誤、及設施受損與氣候因素致計畫進度未如預期，允宜</w:t>
      </w:r>
      <w:r>
        <w:rPr>
          <w:rFonts w:hint="eastAsia"/>
        </w:rPr>
        <w:t>加強</w:t>
      </w:r>
      <w:r w:rsidRPr="002B27B0">
        <w:rPr>
          <w:rFonts w:hint="eastAsia"/>
        </w:rPr>
        <w:t>控管期程並積極執行，以如期如質達成計畫目標。</w:t>
      </w:r>
      <w:bookmarkStart w:id="2" w:name="_GoBack"/>
      <w:bookmarkEnd w:id="2"/>
    </w:p>
    <w:sectPr w:rsidR="00085499" w:rsidSect="00D24E6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3FC" w:rsidRDefault="006963FC" w:rsidP="009B732E">
      <w:pPr>
        <w:spacing w:line="240" w:lineRule="auto"/>
        <w:ind w:left="560" w:firstLine="560"/>
      </w:pPr>
      <w:r>
        <w:separator/>
      </w:r>
    </w:p>
  </w:endnote>
  <w:endnote w:type="continuationSeparator" w:id="0">
    <w:p w:rsidR="006963FC" w:rsidRDefault="006963F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276CAF" w:rsidP="00276CAF">
    <w:pPr>
      <w:pStyle w:val="af1"/>
      <w:ind w:left="560" w:firstLine="400"/>
      <w:jc w:val="center"/>
    </w:pPr>
    <w:r>
      <w:fldChar w:fldCharType="begin"/>
    </w:r>
    <w:r>
      <w:instrText>PAGE   \* MERGEFORMAT</w:instrText>
    </w:r>
    <w:r>
      <w:fldChar w:fldCharType="separate"/>
    </w:r>
    <w:r w:rsidR="0014630C" w:rsidRPr="0014630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3FC" w:rsidRDefault="006963FC" w:rsidP="009B732E">
      <w:pPr>
        <w:spacing w:line="240" w:lineRule="auto"/>
        <w:ind w:left="560" w:firstLine="560"/>
      </w:pPr>
      <w:r>
        <w:separator/>
      </w:r>
    </w:p>
  </w:footnote>
  <w:footnote w:type="continuationSeparator" w:id="0">
    <w:p w:rsidR="006963FC" w:rsidRDefault="006963FC" w:rsidP="009B732E">
      <w:pPr>
        <w:spacing w:line="240" w:lineRule="auto"/>
        <w:ind w:left="560" w:firstLine="560"/>
      </w:pPr>
      <w:r>
        <w:continuationSeparator/>
      </w:r>
    </w:p>
  </w:footnote>
  <w:footnote w:id="1">
    <w:p w:rsidR="00B21E40" w:rsidRPr="00C26C62" w:rsidRDefault="00B21E40" w:rsidP="00B21E40">
      <w:pPr>
        <w:pStyle w:val="142"/>
        <w:ind w:left="243" w:hangingChars="100" w:hanging="243"/>
        <w:jc w:val="both"/>
      </w:pPr>
      <w:r>
        <w:rPr>
          <w:rStyle w:val="af7"/>
        </w:rPr>
        <w:footnoteRef/>
      </w:r>
      <w:r>
        <w:t xml:space="preserve"> </w:t>
      </w:r>
      <w:r>
        <w:rPr>
          <w:rFonts w:hint="eastAsia"/>
        </w:rPr>
        <w:t>參據</w:t>
      </w:r>
      <w:r w:rsidRPr="00C26C62">
        <w:rPr>
          <w:rFonts w:hint="eastAsia"/>
        </w:rPr>
        <w:t>台電公司再生能源處113年1月專案計畫執行進度及預警管控會議</w:t>
      </w:r>
      <w:r>
        <w:rPr>
          <w:rFonts w:hint="eastAsia"/>
        </w:rPr>
        <w:t>紀錄。</w:t>
      </w:r>
    </w:p>
  </w:footnote>
  <w:footnote w:id="2">
    <w:p w:rsidR="00B21E40" w:rsidRPr="0088201D" w:rsidRDefault="00B21E40" w:rsidP="002B27B0">
      <w:pPr>
        <w:pStyle w:val="142"/>
        <w:ind w:left="180" w:hangingChars="74" w:hanging="180"/>
        <w:jc w:val="both"/>
      </w:pPr>
      <w:r>
        <w:rPr>
          <w:rStyle w:val="af7"/>
        </w:rPr>
        <w:footnoteRef/>
      </w:r>
      <w:r>
        <w:t xml:space="preserve"> </w:t>
      </w:r>
      <w:r>
        <w:rPr>
          <w:rFonts w:hint="eastAsia"/>
        </w:rPr>
        <w:t>依海</w:t>
      </w:r>
      <w:r w:rsidRPr="0088201D">
        <w:rPr>
          <w:rFonts w:hint="eastAsia"/>
        </w:rPr>
        <w:t>洋污染防治</w:t>
      </w:r>
      <w:r>
        <w:rPr>
          <w:rFonts w:hint="eastAsia"/>
        </w:rPr>
        <w:t>法</w:t>
      </w:r>
      <w:r w:rsidRPr="0088201D">
        <w:rPr>
          <w:rFonts w:hint="eastAsia"/>
        </w:rPr>
        <w:t>第1</w:t>
      </w:r>
      <w:r w:rsidRPr="0088201D">
        <w:t>5</w:t>
      </w:r>
      <w:r w:rsidRPr="0088201D">
        <w:rPr>
          <w:rFonts w:hint="eastAsia"/>
        </w:rPr>
        <w:t>條</w:t>
      </w:r>
      <w:r>
        <w:rPr>
          <w:rFonts w:hint="eastAsia"/>
        </w:rPr>
        <w:t>第1項</w:t>
      </w:r>
      <w:r w:rsidRPr="0088201D">
        <w:rPr>
          <w:rFonts w:hint="eastAsia"/>
        </w:rPr>
        <w:t>規定：「</w:t>
      </w:r>
      <w:r w:rsidRPr="00ED45EE">
        <w:rPr>
          <w:rFonts w:hint="eastAsia"/>
        </w:rPr>
        <w:t>從事油輸送、海域工程、海洋棄置或其他可能造成海洋污染之行為達中央主管機關公告之規模者，應先提出足以預防及處理海洋污染之緊急應變計畫及賠償污染損害之財務保證書或責任保險單，經中央主管機關許可後，始得為之。</w:t>
      </w:r>
      <w:r w:rsidRPr="0088201D">
        <w:rPr>
          <w:rFonts w:hint="eastAsia"/>
        </w:rPr>
        <w:t>」</w:t>
      </w:r>
      <w:r>
        <w:rPr>
          <w:rFonts w:hint="eastAsia"/>
        </w:rPr>
        <w:t>台電公司依法應提出</w:t>
      </w:r>
      <w:r w:rsidRPr="00ED45EE">
        <w:rPr>
          <w:rFonts w:hint="eastAsia"/>
        </w:rPr>
        <w:t>緊急應變計畫</w:t>
      </w:r>
      <w:r>
        <w:rPr>
          <w:rFonts w:hint="eastAsia"/>
        </w:rPr>
        <w:t>等相關文件向海洋委員會申請，並獲許可後始得進行後續工程。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961" w:rsidRDefault="004F2961" w:rsidP="004F2961">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0322"/>
    <w:multiLevelType w:val="hybridMultilevel"/>
    <w:tmpl w:val="E32A4D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83ADC"/>
    <w:multiLevelType w:val="hybridMultilevel"/>
    <w:tmpl w:val="5934B92A"/>
    <w:lvl w:ilvl="0" w:tplc="EDB000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6F3170"/>
    <w:multiLevelType w:val="hybridMultilevel"/>
    <w:tmpl w:val="8D0A37D6"/>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59182445"/>
    <w:multiLevelType w:val="hybridMultilevel"/>
    <w:tmpl w:val="6E5E73A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60C64F9D"/>
    <w:multiLevelType w:val="hybridMultilevel"/>
    <w:tmpl w:val="F19C8B04"/>
    <w:lvl w:ilvl="0" w:tplc="27E0490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63E62C0B"/>
    <w:multiLevelType w:val="hybridMultilevel"/>
    <w:tmpl w:val="6E5E73A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768F0C8A"/>
    <w:multiLevelType w:val="hybridMultilevel"/>
    <w:tmpl w:val="535C4444"/>
    <w:lvl w:ilvl="0" w:tplc="65CE20F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6"/>
  </w:num>
  <w:num w:numId="4">
    <w:abstractNumId w:val="3"/>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15752"/>
    <w:rsid w:val="0001746F"/>
    <w:rsid w:val="00037EC1"/>
    <w:rsid w:val="00047078"/>
    <w:rsid w:val="00054430"/>
    <w:rsid w:val="0006491D"/>
    <w:rsid w:val="00065C6D"/>
    <w:rsid w:val="00070E88"/>
    <w:rsid w:val="000767B4"/>
    <w:rsid w:val="00077409"/>
    <w:rsid w:val="00085499"/>
    <w:rsid w:val="00086BC5"/>
    <w:rsid w:val="00097E33"/>
    <w:rsid w:val="000B0357"/>
    <w:rsid w:val="000B2277"/>
    <w:rsid w:val="000B4AD1"/>
    <w:rsid w:val="000B5167"/>
    <w:rsid w:val="000C3D94"/>
    <w:rsid w:val="000D269A"/>
    <w:rsid w:val="000D2824"/>
    <w:rsid w:val="000D4B51"/>
    <w:rsid w:val="000E7ED5"/>
    <w:rsid w:val="000F2D48"/>
    <w:rsid w:val="0013696F"/>
    <w:rsid w:val="00143701"/>
    <w:rsid w:val="0014630C"/>
    <w:rsid w:val="0016023C"/>
    <w:rsid w:val="001724AC"/>
    <w:rsid w:val="00180C22"/>
    <w:rsid w:val="00194361"/>
    <w:rsid w:val="001A14C8"/>
    <w:rsid w:val="001A1E63"/>
    <w:rsid w:val="001A4880"/>
    <w:rsid w:val="001B05EB"/>
    <w:rsid w:val="001B1B1A"/>
    <w:rsid w:val="001B4318"/>
    <w:rsid w:val="001B4898"/>
    <w:rsid w:val="001D0B62"/>
    <w:rsid w:val="001F2CD9"/>
    <w:rsid w:val="001F59D3"/>
    <w:rsid w:val="00213958"/>
    <w:rsid w:val="00213DA6"/>
    <w:rsid w:val="00230325"/>
    <w:rsid w:val="002371A4"/>
    <w:rsid w:val="002435EC"/>
    <w:rsid w:val="00246AE1"/>
    <w:rsid w:val="00263925"/>
    <w:rsid w:val="00276CAF"/>
    <w:rsid w:val="00287088"/>
    <w:rsid w:val="00293DF0"/>
    <w:rsid w:val="002A4F1E"/>
    <w:rsid w:val="002B27B0"/>
    <w:rsid w:val="002B30CB"/>
    <w:rsid w:val="002C10DE"/>
    <w:rsid w:val="002C2988"/>
    <w:rsid w:val="002D0E28"/>
    <w:rsid w:val="002E5F69"/>
    <w:rsid w:val="002E6614"/>
    <w:rsid w:val="002E69BE"/>
    <w:rsid w:val="002F35DE"/>
    <w:rsid w:val="002F5926"/>
    <w:rsid w:val="00316C0A"/>
    <w:rsid w:val="00346DBA"/>
    <w:rsid w:val="00352C83"/>
    <w:rsid w:val="00353974"/>
    <w:rsid w:val="00353A94"/>
    <w:rsid w:val="00353F58"/>
    <w:rsid w:val="00354D0C"/>
    <w:rsid w:val="00361058"/>
    <w:rsid w:val="00363541"/>
    <w:rsid w:val="0037022E"/>
    <w:rsid w:val="00395989"/>
    <w:rsid w:val="0039613F"/>
    <w:rsid w:val="003967FD"/>
    <w:rsid w:val="00397F68"/>
    <w:rsid w:val="003A098D"/>
    <w:rsid w:val="003A36B3"/>
    <w:rsid w:val="003B5DE4"/>
    <w:rsid w:val="003C0E54"/>
    <w:rsid w:val="003C7742"/>
    <w:rsid w:val="003D20CC"/>
    <w:rsid w:val="003D633B"/>
    <w:rsid w:val="003E3730"/>
    <w:rsid w:val="003E4E4D"/>
    <w:rsid w:val="003F5C66"/>
    <w:rsid w:val="003F71C3"/>
    <w:rsid w:val="00402AF8"/>
    <w:rsid w:val="004034DA"/>
    <w:rsid w:val="004267F8"/>
    <w:rsid w:val="004303BA"/>
    <w:rsid w:val="00435174"/>
    <w:rsid w:val="00441FA6"/>
    <w:rsid w:val="00445329"/>
    <w:rsid w:val="00454C2E"/>
    <w:rsid w:val="0046055B"/>
    <w:rsid w:val="004634D7"/>
    <w:rsid w:val="00463EBC"/>
    <w:rsid w:val="00471780"/>
    <w:rsid w:val="004772BF"/>
    <w:rsid w:val="00492E76"/>
    <w:rsid w:val="00496592"/>
    <w:rsid w:val="00497187"/>
    <w:rsid w:val="004972B3"/>
    <w:rsid w:val="004B407A"/>
    <w:rsid w:val="004D405A"/>
    <w:rsid w:val="004F2961"/>
    <w:rsid w:val="004F3212"/>
    <w:rsid w:val="004F7F55"/>
    <w:rsid w:val="00520F77"/>
    <w:rsid w:val="00533F7D"/>
    <w:rsid w:val="005427DB"/>
    <w:rsid w:val="0054714E"/>
    <w:rsid w:val="005531C3"/>
    <w:rsid w:val="00555DA5"/>
    <w:rsid w:val="00562A81"/>
    <w:rsid w:val="00565241"/>
    <w:rsid w:val="0058353A"/>
    <w:rsid w:val="00586E23"/>
    <w:rsid w:val="00587531"/>
    <w:rsid w:val="0059628B"/>
    <w:rsid w:val="00596E7D"/>
    <w:rsid w:val="005D4FAF"/>
    <w:rsid w:val="005D53EB"/>
    <w:rsid w:val="005D72F7"/>
    <w:rsid w:val="005E039E"/>
    <w:rsid w:val="005E20D0"/>
    <w:rsid w:val="00602134"/>
    <w:rsid w:val="00603726"/>
    <w:rsid w:val="006115BC"/>
    <w:rsid w:val="00617366"/>
    <w:rsid w:val="006266D0"/>
    <w:rsid w:val="00630AB4"/>
    <w:rsid w:val="00637CFE"/>
    <w:rsid w:val="006434D7"/>
    <w:rsid w:val="00646C6B"/>
    <w:rsid w:val="00656E12"/>
    <w:rsid w:val="006679DA"/>
    <w:rsid w:val="006746C9"/>
    <w:rsid w:val="00677ADB"/>
    <w:rsid w:val="00695C6B"/>
    <w:rsid w:val="006963FC"/>
    <w:rsid w:val="006A38A1"/>
    <w:rsid w:val="006A6929"/>
    <w:rsid w:val="006A774C"/>
    <w:rsid w:val="006B0082"/>
    <w:rsid w:val="006C313C"/>
    <w:rsid w:val="006C4DC1"/>
    <w:rsid w:val="006D770B"/>
    <w:rsid w:val="006E6D6C"/>
    <w:rsid w:val="007015A1"/>
    <w:rsid w:val="007036F7"/>
    <w:rsid w:val="0070560F"/>
    <w:rsid w:val="00714E53"/>
    <w:rsid w:val="00733232"/>
    <w:rsid w:val="00744408"/>
    <w:rsid w:val="00752D8D"/>
    <w:rsid w:val="0075642E"/>
    <w:rsid w:val="00757BA9"/>
    <w:rsid w:val="007632D3"/>
    <w:rsid w:val="007677EE"/>
    <w:rsid w:val="00770934"/>
    <w:rsid w:val="0077729D"/>
    <w:rsid w:val="007775F7"/>
    <w:rsid w:val="007957D7"/>
    <w:rsid w:val="007A56A4"/>
    <w:rsid w:val="007C356C"/>
    <w:rsid w:val="007C6922"/>
    <w:rsid w:val="007C76B4"/>
    <w:rsid w:val="007E2AF4"/>
    <w:rsid w:val="007E665D"/>
    <w:rsid w:val="008019C7"/>
    <w:rsid w:val="00810EF7"/>
    <w:rsid w:val="0081751E"/>
    <w:rsid w:val="00823D86"/>
    <w:rsid w:val="00826A00"/>
    <w:rsid w:val="00827864"/>
    <w:rsid w:val="008368DE"/>
    <w:rsid w:val="00840209"/>
    <w:rsid w:val="00856CF5"/>
    <w:rsid w:val="0086040B"/>
    <w:rsid w:val="00862A2C"/>
    <w:rsid w:val="008633EE"/>
    <w:rsid w:val="0086426B"/>
    <w:rsid w:val="00864360"/>
    <w:rsid w:val="00871A87"/>
    <w:rsid w:val="00874F29"/>
    <w:rsid w:val="00896C3A"/>
    <w:rsid w:val="008B1BB6"/>
    <w:rsid w:val="008B1E37"/>
    <w:rsid w:val="008B22B2"/>
    <w:rsid w:val="008B39FC"/>
    <w:rsid w:val="008D3D7B"/>
    <w:rsid w:val="008E6608"/>
    <w:rsid w:val="008F0B71"/>
    <w:rsid w:val="00901A8D"/>
    <w:rsid w:val="009175C1"/>
    <w:rsid w:val="0092538D"/>
    <w:rsid w:val="00937B7E"/>
    <w:rsid w:val="00950188"/>
    <w:rsid w:val="00964D52"/>
    <w:rsid w:val="009718EE"/>
    <w:rsid w:val="009756C5"/>
    <w:rsid w:val="00986E84"/>
    <w:rsid w:val="009870D8"/>
    <w:rsid w:val="00991141"/>
    <w:rsid w:val="0099296D"/>
    <w:rsid w:val="00992E80"/>
    <w:rsid w:val="00993CC8"/>
    <w:rsid w:val="00996595"/>
    <w:rsid w:val="009A1C0C"/>
    <w:rsid w:val="009A38D3"/>
    <w:rsid w:val="009A64DD"/>
    <w:rsid w:val="009A7639"/>
    <w:rsid w:val="009B660F"/>
    <w:rsid w:val="009B732E"/>
    <w:rsid w:val="009C022D"/>
    <w:rsid w:val="009C7938"/>
    <w:rsid w:val="009E581A"/>
    <w:rsid w:val="009E76DD"/>
    <w:rsid w:val="00A05C99"/>
    <w:rsid w:val="00A1109F"/>
    <w:rsid w:val="00A11DD4"/>
    <w:rsid w:val="00A13285"/>
    <w:rsid w:val="00A41C71"/>
    <w:rsid w:val="00A42C9F"/>
    <w:rsid w:val="00A43BAC"/>
    <w:rsid w:val="00A722AC"/>
    <w:rsid w:val="00A7373D"/>
    <w:rsid w:val="00A86D96"/>
    <w:rsid w:val="00AB1254"/>
    <w:rsid w:val="00AB1FE2"/>
    <w:rsid w:val="00AB44C2"/>
    <w:rsid w:val="00AB5E36"/>
    <w:rsid w:val="00AC35C7"/>
    <w:rsid w:val="00AD0B88"/>
    <w:rsid w:val="00AD33AB"/>
    <w:rsid w:val="00AE5333"/>
    <w:rsid w:val="00AE609E"/>
    <w:rsid w:val="00AE69E4"/>
    <w:rsid w:val="00AF33DA"/>
    <w:rsid w:val="00AF4044"/>
    <w:rsid w:val="00AF730E"/>
    <w:rsid w:val="00B01C84"/>
    <w:rsid w:val="00B038EF"/>
    <w:rsid w:val="00B057EE"/>
    <w:rsid w:val="00B06DF5"/>
    <w:rsid w:val="00B12A44"/>
    <w:rsid w:val="00B21E40"/>
    <w:rsid w:val="00B24D94"/>
    <w:rsid w:val="00B311FD"/>
    <w:rsid w:val="00B52CAA"/>
    <w:rsid w:val="00B53D6F"/>
    <w:rsid w:val="00B573E1"/>
    <w:rsid w:val="00B6063A"/>
    <w:rsid w:val="00B64B51"/>
    <w:rsid w:val="00B668FF"/>
    <w:rsid w:val="00B701CF"/>
    <w:rsid w:val="00B70B96"/>
    <w:rsid w:val="00B72534"/>
    <w:rsid w:val="00B767E7"/>
    <w:rsid w:val="00B83106"/>
    <w:rsid w:val="00B859B3"/>
    <w:rsid w:val="00BA38D3"/>
    <w:rsid w:val="00BB1F0C"/>
    <w:rsid w:val="00BB7CA6"/>
    <w:rsid w:val="00BC340D"/>
    <w:rsid w:val="00BD3D56"/>
    <w:rsid w:val="00BD7E4B"/>
    <w:rsid w:val="00BE08DF"/>
    <w:rsid w:val="00BF0DC4"/>
    <w:rsid w:val="00C00D99"/>
    <w:rsid w:val="00C1745F"/>
    <w:rsid w:val="00C21A3A"/>
    <w:rsid w:val="00C27EBC"/>
    <w:rsid w:val="00C40D56"/>
    <w:rsid w:val="00C65181"/>
    <w:rsid w:val="00C71DF3"/>
    <w:rsid w:val="00C733AC"/>
    <w:rsid w:val="00C8082F"/>
    <w:rsid w:val="00C82C05"/>
    <w:rsid w:val="00C84BD2"/>
    <w:rsid w:val="00C856AA"/>
    <w:rsid w:val="00C8735E"/>
    <w:rsid w:val="00C94F0F"/>
    <w:rsid w:val="00CA6B4F"/>
    <w:rsid w:val="00CB0D42"/>
    <w:rsid w:val="00CB195B"/>
    <w:rsid w:val="00CB3031"/>
    <w:rsid w:val="00CB6375"/>
    <w:rsid w:val="00CC10DE"/>
    <w:rsid w:val="00CD24C9"/>
    <w:rsid w:val="00CD40A5"/>
    <w:rsid w:val="00CE6EC0"/>
    <w:rsid w:val="00D0139E"/>
    <w:rsid w:val="00D03D82"/>
    <w:rsid w:val="00D0534E"/>
    <w:rsid w:val="00D05469"/>
    <w:rsid w:val="00D23C45"/>
    <w:rsid w:val="00D24642"/>
    <w:rsid w:val="00D24E67"/>
    <w:rsid w:val="00D45E71"/>
    <w:rsid w:val="00D46737"/>
    <w:rsid w:val="00D53355"/>
    <w:rsid w:val="00D5428F"/>
    <w:rsid w:val="00D54787"/>
    <w:rsid w:val="00D65B6E"/>
    <w:rsid w:val="00D8148D"/>
    <w:rsid w:val="00D86FE9"/>
    <w:rsid w:val="00D90EDA"/>
    <w:rsid w:val="00DA0F13"/>
    <w:rsid w:val="00DA1C30"/>
    <w:rsid w:val="00DB5EE8"/>
    <w:rsid w:val="00DC3DD8"/>
    <w:rsid w:val="00DE232F"/>
    <w:rsid w:val="00DE73B6"/>
    <w:rsid w:val="00DF10CB"/>
    <w:rsid w:val="00DF1E86"/>
    <w:rsid w:val="00E02455"/>
    <w:rsid w:val="00E2482A"/>
    <w:rsid w:val="00E31307"/>
    <w:rsid w:val="00E534FF"/>
    <w:rsid w:val="00E543BA"/>
    <w:rsid w:val="00E609CC"/>
    <w:rsid w:val="00E7087E"/>
    <w:rsid w:val="00E70C9F"/>
    <w:rsid w:val="00E80301"/>
    <w:rsid w:val="00EA1E03"/>
    <w:rsid w:val="00EA47E4"/>
    <w:rsid w:val="00EB512F"/>
    <w:rsid w:val="00ED198A"/>
    <w:rsid w:val="00ED1BB2"/>
    <w:rsid w:val="00EF0711"/>
    <w:rsid w:val="00F0175B"/>
    <w:rsid w:val="00F0200C"/>
    <w:rsid w:val="00F1266F"/>
    <w:rsid w:val="00F14A16"/>
    <w:rsid w:val="00F17C8D"/>
    <w:rsid w:val="00F21539"/>
    <w:rsid w:val="00F21781"/>
    <w:rsid w:val="00F30C49"/>
    <w:rsid w:val="00F349FD"/>
    <w:rsid w:val="00F402D3"/>
    <w:rsid w:val="00F46A3D"/>
    <w:rsid w:val="00F46FBE"/>
    <w:rsid w:val="00F519E6"/>
    <w:rsid w:val="00F809ED"/>
    <w:rsid w:val="00F97B99"/>
    <w:rsid w:val="00FA2F32"/>
    <w:rsid w:val="00FC350F"/>
    <w:rsid w:val="00FC7585"/>
    <w:rsid w:val="00FD7803"/>
    <w:rsid w:val="00FE0261"/>
    <w:rsid w:val="00FF1697"/>
    <w:rsid w:val="00FF54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A2E3C3F-E988-404B-A61B-DC14CB354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
    <w:name w:val="toc 1"/>
    <w:basedOn w:val="a"/>
    <w:next w:val="a"/>
    <w:autoRedefine/>
    <w:uiPriority w:val="39"/>
    <w:rsid w:val="00E609CC"/>
    <w:pPr>
      <w:tabs>
        <w:tab w:val="right" w:leader="hyphen" w:pos="8609"/>
      </w:tabs>
      <w:ind w:leftChars="0" w:left="486" w:hangingChars="200" w:hanging="486"/>
    </w:pPr>
    <w:rPr>
      <w:sz w:val="24"/>
    </w:rPr>
  </w:style>
  <w:style w:type="paragraph" w:styleId="21">
    <w:name w:val="toc 2"/>
    <w:basedOn w:val="a"/>
    <w:next w:val="a"/>
    <w:autoRedefine/>
    <w:semiHidden/>
    <w:pPr>
      <w:tabs>
        <w:tab w:val="right" w:leader="hyphen" w:pos="8490"/>
      </w:tabs>
      <w:ind w:leftChars="0" w:left="566" w:hangingChars="200" w:hanging="566"/>
    </w:pPr>
  </w:style>
  <w:style w:type="paragraph" w:styleId="af">
    <w:name w:val="header"/>
    <w:basedOn w:val="a"/>
    <w:link w:val="af0"/>
    <w:uiPriority w:val="99"/>
    <w:unhideWhenUsed/>
    <w:rsid w:val="004F2961"/>
    <w:pPr>
      <w:tabs>
        <w:tab w:val="center" w:pos="4153"/>
        <w:tab w:val="right" w:pos="8306"/>
      </w:tabs>
      <w:snapToGrid w:val="0"/>
    </w:pPr>
    <w:rPr>
      <w:sz w:val="20"/>
      <w:szCs w:val="20"/>
    </w:rPr>
  </w:style>
  <w:style w:type="character" w:customStyle="1" w:styleId="af0">
    <w:name w:val="頁首 字元"/>
    <w:link w:val="af"/>
    <w:uiPriority w:val="99"/>
    <w:rsid w:val="004F2961"/>
    <w:rPr>
      <w:rFonts w:ascii="標楷體" w:eastAsia="標楷體"/>
      <w:snapToGrid w:val="0"/>
      <w:kern w:val="2"/>
    </w:rPr>
  </w:style>
  <w:style w:type="paragraph" w:styleId="af1">
    <w:name w:val="footer"/>
    <w:basedOn w:val="a"/>
    <w:link w:val="af2"/>
    <w:uiPriority w:val="99"/>
    <w:unhideWhenUsed/>
    <w:rsid w:val="004F2961"/>
    <w:pPr>
      <w:tabs>
        <w:tab w:val="center" w:pos="4153"/>
        <w:tab w:val="right" w:pos="8306"/>
      </w:tabs>
      <w:snapToGrid w:val="0"/>
    </w:pPr>
    <w:rPr>
      <w:sz w:val="20"/>
      <w:szCs w:val="20"/>
    </w:rPr>
  </w:style>
  <w:style w:type="character" w:customStyle="1" w:styleId="af2">
    <w:name w:val="頁尾 字元"/>
    <w:link w:val="af1"/>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3">
    <w:name w:val="Balloon Text"/>
    <w:basedOn w:val="a"/>
    <w:link w:val="af4"/>
    <w:uiPriority w:val="99"/>
    <w:semiHidden/>
    <w:unhideWhenUsed/>
    <w:rsid w:val="00B859B3"/>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B859B3"/>
    <w:rPr>
      <w:rFonts w:ascii="Cambria" w:eastAsia="新細明體" w:hAnsi="Cambria" w:cs="Times New Roman"/>
      <w:snapToGrid w:val="0"/>
      <w:kern w:val="2"/>
      <w:sz w:val="18"/>
      <w:szCs w:val="18"/>
    </w:rPr>
  </w:style>
  <w:style w:type="character" w:customStyle="1" w:styleId="a5">
    <w:name w:val="(一)(二)(三) 字元"/>
    <w:link w:val="a4"/>
    <w:rsid w:val="003D20CC"/>
    <w:rPr>
      <w:rFonts w:ascii="標楷體" w:eastAsia="標楷體"/>
      <w:snapToGrid w:val="0"/>
      <w:kern w:val="2"/>
      <w:sz w:val="28"/>
      <w:szCs w:val="28"/>
    </w:rPr>
  </w:style>
  <w:style w:type="paragraph" w:styleId="af5">
    <w:name w:val="footnote text"/>
    <w:basedOn w:val="a"/>
    <w:link w:val="af6"/>
    <w:uiPriority w:val="99"/>
    <w:unhideWhenUsed/>
    <w:rsid w:val="003D20CC"/>
    <w:pPr>
      <w:snapToGrid w:val="0"/>
      <w:spacing w:line="280" w:lineRule="exact"/>
      <w:ind w:leftChars="4" w:left="84" w:hangingChars="30" w:hanging="73"/>
    </w:pPr>
    <w:rPr>
      <w:sz w:val="24"/>
      <w:szCs w:val="20"/>
    </w:rPr>
  </w:style>
  <w:style w:type="character" w:customStyle="1" w:styleId="af6">
    <w:name w:val="註腳文字 字元"/>
    <w:link w:val="af5"/>
    <w:uiPriority w:val="99"/>
    <w:rsid w:val="003D20CC"/>
    <w:rPr>
      <w:rFonts w:ascii="標楷體" w:eastAsia="標楷體"/>
      <w:snapToGrid w:val="0"/>
      <w:kern w:val="2"/>
      <w:sz w:val="24"/>
    </w:rPr>
  </w:style>
  <w:style w:type="character" w:styleId="af7">
    <w:name w:val="footnote reference"/>
    <w:aliases w:val="FR,Ref,de nota al pie,註腳內容,Error-Fußnotenzeichen5,Error-Fußnotenzeichen6,Error-Fußnotenzeichen3,Error-Fusnotßnotenzeichen5,Error-Fußnotenzeic"/>
    <w:unhideWhenUsed/>
    <w:qFormat/>
    <w:rsid w:val="003D20CC"/>
    <w:rPr>
      <w:vertAlign w:val="superscript"/>
    </w:rPr>
  </w:style>
  <w:style w:type="character" w:customStyle="1" w:styleId="22">
    <w:name w:val="(一)下內文縮2 字元2"/>
    <w:link w:val="2"/>
    <w:rsid w:val="003D20CC"/>
    <w:rPr>
      <w:rFonts w:ascii="標楷體" w:eastAsia="標楷體"/>
      <w:snapToGrid w:val="0"/>
      <w:kern w:val="2"/>
      <w:sz w:val="28"/>
      <w:szCs w:val="28"/>
    </w:rPr>
  </w:style>
  <w:style w:type="character" w:customStyle="1" w:styleId="10">
    <w:name w:val="(一)(二)(三) 字元1"/>
    <w:rsid w:val="004F7F55"/>
    <w:rPr>
      <w:rFonts w:ascii="標楷體" w:eastAsia="標楷體"/>
      <w:snapToGrid w:val="0"/>
      <w:kern w:val="2"/>
      <w:sz w:val="28"/>
      <w:szCs w:val="28"/>
    </w:rPr>
  </w:style>
  <w:style w:type="character" w:customStyle="1" w:styleId="143">
    <w:name w:val="表格內文(14行高) 字元"/>
    <w:link w:val="142"/>
    <w:qFormat/>
    <w:rsid w:val="004F7F55"/>
    <w:rPr>
      <w:rFonts w:ascii="標楷體" w:eastAsia="標楷體"/>
      <w:snapToGrid w:val="0"/>
      <w:kern w:val="2"/>
      <w:sz w:val="24"/>
      <w:szCs w:val="28"/>
    </w:rPr>
  </w:style>
  <w:style w:type="character" w:customStyle="1" w:styleId="141">
    <w:name w:val="第二層(14號字) 字元1"/>
    <w:link w:val="14"/>
    <w:locked/>
    <w:rsid w:val="004F7F55"/>
    <w:rPr>
      <w:rFonts w:ascii="標楷體" w:eastAsia="標楷體"/>
      <w:b/>
      <w:snapToGrid w:val="0"/>
      <w:kern w:val="2"/>
      <w:sz w:val="28"/>
    </w:rPr>
  </w:style>
  <w:style w:type="table" w:styleId="af8">
    <w:name w:val="Table Grid"/>
    <w:basedOn w:val="a1"/>
    <w:uiPriority w:val="59"/>
    <w:rsid w:val="00602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一)下內文縮2 字元"/>
    <w:qFormat/>
    <w:rsid w:val="00AB1FE2"/>
    <w:rPr>
      <w:rFonts w:ascii="標楷體" w:eastAsia="標楷體"/>
      <w:snapToGrid w:val="0"/>
      <w:kern w:val="2"/>
      <w:sz w:val="28"/>
      <w:szCs w:val="28"/>
    </w:rPr>
  </w:style>
  <w:style w:type="character" w:customStyle="1" w:styleId="24">
    <w:name w:val="(一)(二)(三) 字元2"/>
    <w:rsid w:val="00AB1FE2"/>
    <w:rPr>
      <w:rFonts w:ascii="標楷體" w:eastAsia="標楷體"/>
      <w:snapToGrid w:val="0"/>
      <w:kern w:val="2"/>
      <w:sz w:val="28"/>
      <w:szCs w:val="28"/>
    </w:rPr>
  </w:style>
  <w:style w:type="character" w:customStyle="1" w:styleId="145">
    <w:name w:val="第二層(14號字) 字元"/>
    <w:rsid w:val="005D72F7"/>
    <w:rPr>
      <w:rFonts w:ascii="標楷體" w:eastAsia="標楷體"/>
      <w:b/>
      <w:snapToGrid w:val="0"/>
      <w:kern w:val="2"/>
      <w:sz w:val="28"/>
    </w:rPr>
  </w:style>
  <w:style w:type="character" w:styleId="af9">
    <w:name w:val="Hyperlink"/>
    <w:uiPriority w:val="99"/>
    <w:unhideWhenUsed/>
    <w:rsid w:val="00037EC1"/>
    <w:rPr>
      <w:color w:val="0563C1"/>
      <w:u w:val="single"/>
    </w:rPr>
  </w:style>
  <w:style w:type="paragraph" w:customStyle="1" w:styleId="Standard">
    <w:name w:val="Standard"/>
    <w:rsid w:val="00496592"/>
    <w:pPr>
      <w:autoSpaceDN w:val="0"/>
      <w:textAlignment w:val="baseline"/>
    </w:pPr>
  </w:style>
  <w:style w:type="character" w:customStyle="1" w:styleId="a9">
    <w:name w:val="前言內文 字元"/>
    <w:link w:val="a8"/>
    <w:locked/>
    <w:rsid w:val="0059628B"/>
    <w:rPr>
      <w:rFonts w:ascii="標楷體" w:eastAsia="標楷體"/>
      <w:snapToGrid w:val="0"/>
      <w:kern w:val="2"/>
      <w:sz w:val="28"/>
      <w:szCs w:val="28"/>
    </w:rPr>
  </w:style>
  <w:style w:type="character" w:customStyle="1" w:styleId="ad">
    <w:name w:val="姓名及分機 字元"/>
    <w:link w:val="ac"/>
    <w:rsid w:val="00FF1697"/>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99565">
      <w:bodyDiv w:val="1"/>
      <w:marLeft w:val="0"/>
      <w:marRight w:val="0"/>
      <w:marTop w:val="0"/>
      <w:marBottom w:val="0"/>
      <w:divBdr>
        <w:top w:val="none" w:sz="0" w:space="0" w:color="auto"/>
        <w:left w:val="none" w:sz="0" w:space="0" w:color="auto"/>
        <w:bottom w:val="none" w:sz="0" w:space="0" w:color="auto"/>
        <w:right w:val="none" w:sz="0" w:space="0" w:color="auto"/>
      </w:divBdr>
    </w:div>
    <w:div w:id="230190435">
      <w:bodyDiv w:val="1"/>
      <w:marLeft w:val="0"/>
      <w:marRight w:val="0"/>
      <w:marTop w:val="0"/>
      <w:marBottom w:val="0"/>
      <w:divBdr>
        <w:top w:val="none" w:sz="0" w:space="0" w:color="auto"/>
        <w:left w:val="none" w:sz="0" w:space="0" w:color="auto"/>
        <w:bottom w:val="none" w:sz="0" w:space="0" w:color="auto"/>
        <w:right w:val="none" w:sz="0" w:space="0" w:color="auto"/>
      </w:divBdr>
    </w:div>
    <w:div w:id="425424068">
      <w:bodyDiv w:val="1"/>
      <w:marLeft w:val="0"/>
      <w:marRight w:val="0"/>
      <w:marTop w:val="0"/>
      <w:marBottom w:val="0"/>
      <w:divBdr>
        <w:top w:val="none" w:sz="0" w:space="0" w:color="auto"/>
        <w:left w:val="none" w:sz="0" w:space="0" w:color="auto"/>
        <w:bottom w:val="none" w:sz="0" w:space="0" w:color="auto"/>
        <w:right w:val="none" w:sz="0" w:space="0" w:color="auto"/>
      </w:divBdr>
    </w:div>
    <w:div w:id="429157467">
      <w:bodyDiv w:val="1"/>
      <w:marLeft w:val="0"/>
      <w:marRight w:val="0"/>
      <w:marTop w:val="0"/>
      <w:marBottom w:val="0"/>
      <w:divBdr>
        <w:top w:val="none" w:sz="0" w:space="0" w:color="auto"/>
        <w:left w:val="none" w:sz="0" w:space="0" w:color="auto"/>
        <w:bottom w:val="none" w:sz="0" w:space="0" w:color="auto"/>
        <w:right w:val="none" w:sz="0" w:space="0" w:color="auto"/>
      </w:divBdr>
    </w:div>
    <w:div w:id="513611809">
      <w:bodyDiv w:val="1"/>
      <w:marLeft w:val="0"/>
      <w:marRight w:val="0"/>
      <w:marTop w:val="0"/>
      <w:marBottom w:val="0"/>
      <w:divBdr>
        <w:top w:val="none" w:sz="0" w:space="0" w:color="auto"/>
        <w:left w:val="none" w:sz="0" w:space="0" w:color="auto"/>
        <w:bottom w:val="none" w:sz="0" w:space="0" w:color="auto"/>
        <w:right w:val="none" w:sz="0" w:space="0" w:color="auto"/>
      </w:divBdr>
    </w:div>
    <w:div w:id="585193826">
      <w:bodyDiv w:val="1"/>
      <w:marLeft w:val="0"/>
      <w:marRight w:val="0"/>
      <w:marTop w:val="0"/>
      <w:marBottom w:val="0"/>
      <w:divBdr>
        <w:top w:val="none" w:sz="0" w:space="0" w:color="auto"/>
        <w:left w:val="none" w:sz="0" w:space="0" w:color="auto"/>
        <w:bottom w:val="none" w:sz="0" w:space="0" w:color="auto"/>
        <w:right w:val="none" w:sz="0" w:space="0" w:color="auto"/>
      </w:divBdr>
    </w:div>
    <w:div w:id="621031634">
      <w:bodyDiv w:val="1"/>
      <w:marLeft w:val="0"/>
      <w:marRight w:val="0"/>
      <w:marTop w:val="0"/>
      <w:marBottom w:val="0"/>
      <w:divBdr>
        <w:top w:val="none" w:sz="0" w:space="0" w:color="auto"/>
        <w:left w:val="none" w:sz="0" w:space="0" w:color="auto"/>
        <w:bottom w:val="none" w:sz="0" w:space="0" w:color="auto"/>
        <w:right w:val="none" w:sz="0" w:space="0" w:color="auto"/>
      </w:divBdr>
    </w:div>
    <w:div w:id="807939292">
      <w:bodyDiv w:val="1"/>
      <w:marLeft w:val="0"/>
      <w:marRight w:val="0"/>
      <w:marTop w:val="0"/>
      <w:marBottom w:val="0"/>
      <w:divBdr>
        <w:top w:val="none" w:sz="0" w:space="0" w:color="auto"/>
        <w:left w:val="none" w:sz="0" w:space="0" w:color="auto"/>
        <w:bottom w:val="none" w:sz="0" w:space="0" w:color="auto"/>
        <w:right w:val="none" w:sz="0" w:space="0" w:color="auto"/>
      </w:divBdr>
    </w:div>
    <w:div w:id="865866409">
      <w:bodyDiv w:val="1"/>
      <w:marLeft w:val="0"/>
      <w:marRight w:val="0"/>
      <w:marTop w:val="0"/>
      <w:marBottom w:val="0"/>
      <w:divBdr>
        <w:top w:val="none" w:sz="0" w:space="0" w:color="auto"/>
        <w:left w:val="none" w:sz="0" w:space="0" w:color="auto"/>
        <w:bottom w:val="none" w:sz="0" w:space="0" w:color="auto"/>
        <w:right w:val="none" w:sz="0" w:space="0" w:color="auto"/>
      </w:divBdr>
    </w:div>
    <w:div w:id="1068960384">
      <w:bodyDiv w:val="1"/>
      <w:marLeft w:val="0"/>
      <w:marRight w:val="0"/>
      <w:marTop w:val="0"/>
      <w:marBottom w:val="0"/>
      <w:divBdr>
        <w:top w:val="none" w:sz="0" w:space="0" w:color="auto"/>
        <w:left w:val="none" w:sz="0" w:space="0" w:color="auto"/>
        <w:bottom w:val="none" w:sz="0" w:space="0" w:color="auto"/>
        <w:right w:val="none" w:sz="0" w:space="0" w:color="auto"/>
      </w:divBdr>
    </w:div>
    <w:div w:id="1154680480">
      <w:bodyDiv w:val="1"/>
      <w:marLeft w:val="0"/>
      <w:marRight w:val="0"/>
      <w:marTop w:val="0"/>
      <w:marBottom w:val="0"/>
      <w:divBdr>
        <w:top w:val="none" w:sz="0" w:space="0" w:color="auto"/>
        <w:left w:val="none" w:sz="0" w:space="0" w:color="auto"/>
        <w:bottom w:val="none" w:sz="0" w:space="0" w:color="auto"/>
        <w:right w:val="none" w:sz="0" w:space="0" w:color="auto"/>
      </w:divBdr>
    </w:div>
    <w:div w:id="1388531164">
      <w:bodyDiv w:val="1"/>
      <w:marLeft w:val="0"/>
      <w:marRight w:val="0"/>
      <w:marTop w:val="0"/>
      <w:marBottom w:val="0"/>
      <w:divBdr>
        <w:top w:val="none" w:sz="0" w:space="0" w:color="auto"/>
        <w:left w:val="none" w:sz="0" w:space="0" w:color="auto"/>
        <w:bottom w:val="none" w:sz="0" w:space="0" w:color="auto"/>
        <w:right w:val="none" w:sz="0" w:space="0" w:color="auto"/>
      </w:divBdr>
    </w:div>
    <w:div w:id="1784686618">
      <w:bodyDiv w:val="1"/>
      <w:marLeft w:val="0"/>
      <w:marRight w:val="0"/>
      <w:marTop w:val="0"/>
      <w:marBottom w:val="0"/>
      <w:divBdr>
        <w:top w:val="none" w:sz="0" w:space="0" w:color="auto"/>
        <w:left w:val="none" w:sz="0" w:space="0" w:color="auto"/>
        <w:bottom w:val="none" w:sz="0" w:space="0" w:color="auto"/>
        <w:right w:val="none" w:sz="0" w:space="0" w:color="auto"/>
      </w:divBdr>
    </w:div>
    <w:div w:id="213832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55DED-BB88-4D98-AD19-41D30A85F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175</Words>
  <Characters>999</Characters>
  <Application>Microsoft Office Word</Application>
  <DocSecurity>0</DocSecurity>
  <Lines>8</Lines>
  <Paragraphs>2</Paragraphs>
  <ScaleCrop>false</ScaleCrop>
  <Company>HOME</Company>
  <LinksUpToDate>false</LinksUpToDate>
  <CharactersWithSpaces>1172</CharactersWithSpaces>
  <SharedDoc>false</SharedDoc>
  <HLinks>
    <vt:vector size="30" baseType="variant">
      <vt:variant>
        <vt:i4>1441841</vt:i4>
      </vt:variant>
      <vt:variant>
        <vt:i4>26</vt:i4>
      </vt:variant>
      <vt:variant>
        <vt:i4>0</vt:i4>
      </vt:variant>
      <vt:variant>
        <vt:i4>5</vt:i4>
      </vt:variant>
      <vt:variant>
        <vt:lpwstr/>
      </vt:variant>
      <vt:variant>
        <vt:lpwstr>_Toc225324442</vt:lpwstr>
      </vt:variant>
      <vt:variant>
        <vt:i4>1441841</vt:i4>
      </vt:variant>
      <vt:variant>
        <vt:i4>20</vt:i4>
      </vt:variant>
      <vt:variant>
        <vt:i4>0</vt:i4>
      </vt:variant>
      <vt:variant>
        <vt:i4>5</vt:i4>
      </vt:variant>
      <vt:variant>
        <vt:lpwstr/>
      </vt:variant>
      <vt:variant>
        <vt:lpwstr>_Toc225324441</vt:lpwstr>
      </vt:variant>
      <vt:variant>
        <vt:i4>1441841</vt:i4>
      </vt:variant>
      <vt:variant>
        <vt:i4>14</vt:i4>
      </vt:variant>
      <vt:variant>
        <vt:i4>0</vt:i4>
      </vt:variant>
      <vt:variant>
        <vt:i4>5</vt:i4>
      </vt:variant>
      <vt:variant>
        <vt:lpwstr/>
      </vt:variant>
      <vt:variant>
        <vt:lpwstr>_Toc225324440</vt:lpwstr>
      </vt:variant>
      <vt:variant>
        <vt:i4>1114161</vt:i4>
      </vt:variant>
      <vt:variant>
        <vt:i4>8</vt:i4>
      </vt:variant>
      <vt:variant>
        <vt:i4>0</vt:i4>
      </vt:variant>
      <vt:variant>
        <vt:i4>5</vt:i4>
      </vt:variant>
      <vt:variant>
        <vt:lpwstr/>
      </vt:variant>
      <vt:variant>
        <vt:lpwstr>_Toc225324439</vt:lpwstr>
      </vt:variant>
      <vt:variant>
        <vt:i4>1114161</vt:i4>
      </vt:variant>
      <vt:variant>
        <vt:i4>2</vt:i4>
      </vt:variant>
      <vt:variant>
        <vt:i4>0</vt:i4>
      </vt:variant>
      <vt:variant>
        <vt:i4>5</vt:i4>
      </vt:variant>
      <vt:variant>
        <vt:lpwstr/>
      </vt:variant>
      <vt:variant>
        <vt:lpwstr>_Toc225324438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2026-03-26T02:57:00Z</cp:lastPrinted>
  <dcterms:created xsi:type="dcterms:W3CDTF">2026-03-26T06:44:00Z</dcterms:created>
  <dcterms:modified xsi:type="dcterms:W3CDTF">2026-03-26T06:44:00Z</dcterms:modified>
</cp:coreProperties>
</file>