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bookmarkStart w:id="1" w:name="_GoBack"/>
      <w:bookmarkEnd w:id="1"/>
      <w:r w:rsidRPr="0032536D">
        <w:rPr>
          <w:rFonts w:hAnsi="標楷體" w:hint="eastAsia"/>
          <w:spacing w:val="-4"/>
        </w:rPr>
        <w:t>臺銀人壽保險股份有限公司11</w:t>
      </w:r>
      <w:r w:rsidR="0040630C">
        <w:rPr>
          <w:rFonts w:hAnsi="標楷體" w:hint="eastAsia"/>
          <w:spacing w:val="-4"/>
        </w:rPr>
        <w:t>3</w:t>
      </w:r>
      <w:r w:rsidRPr="0032536D">
        <w:rPr>
          <w:rFonts w:hAnsi="標楷體" w:hint="eastAsia"/>
          <w:spacing w:val="-4"/>
        </w:rPr>
        <w:t>年度營業</w:t>
      </w:r>
      <w:r w:rsidR="00B23FF7" w:rsidRPr="000B5578">
        <w:rPr>
          <w:rFonts w:hAnsi="標楷體"/>
          <w:spacing w:val="-20"/>
        </w:rPr>
        <w:t>決</w:t>
      </w:r>
      <w:r w:rsidRPr="0032536D">
        <w:rPr>
          <w:rFonts w:hAnsi="標楷體" w:hint="eastAsia"/>
          <w:spacing w:val="-4"/>
        </w:rPr>
        <w:t>算評估報告</w:t>
      </w:r>
    </w:p>
    <w:bookmarkEnd w:id="0"/>
    <w:p w:rsidR="00D95C75" w:rsidRDefault="00100CFE" w:rsidP="00036BA6">
      <w:pPr>
        <w:pStyle w:val="a8"/>
        <w:ind w:firstLine="566"/>
        <w:rPr>
          <w:rFonts w:hAnsi="標楷體"/>
        </w:rPr>
      </w:pPr>
      <w:r w:rsidRPr="00100CFE">
        <w:rPr>
          <w:rFonts w:hAnsi="標楷體" w:hint="eastAsia"/>
        </w:rPr>
        <w:t>臺銀人壽保險股份有限公司(以下簡稱臺銀人壽)主要任務係依保險法規定辦理人身保險業務，並受政府委託辦理軍人保險及替代役保險業務等。臺銀人壽11</w:t>
      </w:r>
      <w:r w:rsidR="00D020F8">
        <w:rPr>
          <w:rFonts w:hAnsi="標楷體" w:hint="eastAsia"/>
        </w:rPr>
        <w:t>3</w:t>
      </w:r>
      <w:r w:rsidR="003E46A8">
        <w:rPr>
          <w:rFonts w:hAnsi="標楷體" w:hint="eastAsia"/>
        </w:rPr>
        <w:t>年度決算</w:t>
      </w:r>
      <w:r w:rsidRPr="00100CFE">
        <w:rPr>
          <w:rFonts w:hAnsi="標楷體" w:hint="eastAsia"/>
        </w:rPr>
        <w:t>營業收入</w:t>
      </w:r>
      <w:r w:rsidR="00CF1E86">
        <w:rPr>
          <w:rFonts w:hAnsi="標楷體" w:hint="eastAsia"/>
        </w:rPr>
        <w:t>521</w:t>
      </w:r>
      <w:r w:rsidRPr="00100CFE">
        <w:rPr>
          <w:rFonts w:hAnsi="標楷體" w:hint="eastAsia"/>
        </w:rPr>
        <w:t>億</w:t>
      </w:r>
      <w:r w:rsidR="00CF1E86">
        <w:rPr>
          <w:rFonts w:hAnsi="標楷體" w:hint="eastAsia"/>
        </w:rPr>
        <w:t>3,103</w:t>
      </w:r>
      <w:r w:rsidRPr="00100CFE">
        <w:rPr>
          <w:rFonts w:hAnsi="標楷體" w:hint="eastAsia"/>
        </w:rPr>
        <w:t>萬</w:t>
      </w:r>
      <w:r w:rsidR="00CF1E86">
        <w:rPr>
          <w:rFonts w:hAnsi="標楷體" w:hint="eastAsia"/>
        </w:rPr>
        <w:t>7</w:t>
      </w:r>
      <w:r w:rsidRPr="00100CFE">
        <w:rPr>
          <w:rFonts w:hAnsi="標楷體" w:hint="eastAsia"/>
        </w:rPr>
        <w:t>千元，營業成本</w:t>
      </w:r>
      <w:r w:rsidR="00CF1E86">
        <w:rPr>
          <w:rFonts w:hAnsi="標楷體" w:hint="eastAsia"/>
        </w:rPr>
        <w:t>504</w:t>
      </w:r>
      <w:r w:rsidRPr="00100CFE">
        <w:rPr>
          <w:rFonts w:hAnsi="標楷體" w:hint="eastAsia"/>
        </w:rPr>
        <w:t>億9</w:t>
      </w:r>
      <w:r w:rsidR="00CF1E86">
        <w:rPr>
          <w:rFonts w:hAnsi="標楷體" w:hint="eastAsia"/>
        </w:rPr>
        <w:t>,</w:t>
      </w:r>
      <w:r w:rsidR="00CF1E86">
        <w:rPr>
          <w:rFonts w:hAnsi="標楷體"/>
        </w:rPr>
        <w:t>318</w:t>
      </w:r>
      <w:r w:rsidRPr="00100CFE">
        <w:rPr>
          <w:rFonts w:hAnsi="標楷體" w:hint="eastAsia"/>
        </w:rPr>
        <w:t>萬</w:t>
      </w:r>
      <w:r w:rsidR="00CF1E86">
        <w:rPr>
          <w:rFonts w:hAnsi="標楷體" w:hint="eastAsia"/>
        </w:rPr>
        <w:t>2</w:t>
      </w:r>
      <w:r w:rsidRPr="00100CFE">
        <w:rPr>
          <w:rFonts w:hAnsi="標楷體" w:hint="eastAsia"/>
        </w:rPr>
        <w:t>千元，營業費用</w:t>
      </w:r>
      <w:r w:rsidR="00CF1E86">
        <w:rPr>
          <w:rFonts w:hAnsi="標楷體" w:hint="eastAsia"/>
        </w:rPr>
        <w:t>9</w:t>
      </w:r>
      <w:r w:rsidRPr="00100CFE">
        <w:rPr>
          <w:rFonts w:hAnsi="標楷體" w:hint="eastAsia"/>
        </w:rPr>
        <w:t>億</w:t>
      </w:r>
      <w:r w:rsidR="00CF1E86">
        <w:rPr>
          <w:rFonts w:hAnsi="標楷體" w:hint="eastAsia"/>
        </w:rPr>
        <w:t>3,3</w:t>
      </w:r>
      <w:r w:rsidR="00CF1E86">
        <w:rPr>
          <w:rFonts w:hAnsi="標楷體"/>
        </w:rPr>
        <w:t>30</w:t>
      </w:r>
      <w:r w:rsidRPr="00100CFE">
        <w:rPr>
          <w:rFonts w:hAnsi="標楷體" w:hint="eastAsia"/>
        </w:rPr>
        <w:t>萬9</w:t>
      </w:r>
      <w:r w:rsidR="00CF1E86">
        <w:rPr>
          <w:rFonts w:hAnsi="標楷體" w:hint="eastAsia"/>
        </w:rPr>
        <w:t>千元，收支相抵後營業利益7</w:t>
      </w:r>
      <w:r w:rsidRPr="00100CFE">
        <w:rPr>
          <w:rFonts w:hAnsi="標楷體" w:hint="eastAsia"/>
        </w:rPr>
        <w:t>億</w:t>
      </w:r>
      <w:r w:rsidR="00CF1E86">
        <w:rPr>
          <w:rFonts w:hAnsi="標楷體" w:hint="eastAsia"/>
        </w:rPr>
        <w:t>454</w:t>
      </w:r>
      <w:r w:rsidRPr="00100CFE">
        <w:rPr>
          <w:rFonts w:hAnsi="標楷體" w:hint="eastAsia"/>
        </w:rPr>
        <w:t>萬</w:t>
      </w:r>
      <w:r w:rsidR="00CF1E86">
        <w:rPr>
          <w:rFonts w:hAnsi="標楷體" w:hint="eastAsia"/>
        </w:rPr>
        <w:t>6</w:t>
      </w:r>
      <w:r w:rsidRPr="00100CFE">
        <w:rPr>
          <w:rFonts w:hAnsi="標楷體" w:hint="eastAsia"/>
        </w:rPr>
        <w:t>千元；另營業外收入</w:t>
      </w:r>
      <w:r w:rsidR="00CF1E86">
        <w:rPr>
          <w:rFonts w:hAnsi="標楷體" w:hint="eastAsia"/>
        </w:rPr>
        <w:t>1億1,001</w:t>
      </w:r>
      <w:r w:rsidRPr="00100CFE">
        <w:rPr>
          <w:rFonts w:hAnsi="標楷體" w:hint="eastAsia"/>
        </w:rPr>
        <w:t>萬</w:t>
      </w:r>
      <w:r w:rsidR="00CF1E86">
        <w:rPr>
          <w:rFonts w:hAnsi="標楷體" w:hint="eastAsia"/>
        </w:rPr>
        <w:t>9</w:t>
      </w:r>
      <w:r w:rsidRPr="00100CFE">
        <w:rPr>
          <w:rFonts w:hAnsi="標楷體" w:hint="eastAsia"/>
        </w:rPr>
        <w:t>千元，營業外費用</w:t>
      </w:r>
      <w:r w:rsidR="00CF1E86">
        <w:rPr>
          <w:rFonts w:hAnsi="標楷體" w:hint="eastAsia"/>
        </w:rPr>
        <w:t>4,666</w:t>
      </w:r>
      <w:r w:rsidRPr="00100CFE">
        <w:rPr>
          <w:rFonts w:hAnsi="標楷體" w:hint="eastAsia"/>
        </w:rPr>
        <w:t>萬</w:t>
      </w:r>
      <w:r w:rsidR="003A4699">
        <w:rPr>
          <w:rFonts w:hAnsi="標楷體" w:hint="eastAsia"/>
        </w:rPr>
        <w:t>6</w:t>
      </w:r>
      <w:r w:rsidR="00CF1E86">
        <w:rPr>
          <w:rFonts w:hAnsi="標楷體" w:hint="eastAsia"/>
        </w:rPr>
        <w:t>千元，收支相抵後營業外利益6,335</w:t>
      </w:r>
      <w:r w:rsidRPr="00100CFE">
        <w:rPr>
          <w:rFonts w:hAnsi="標楷體" w:hint="eastAsia"/>
        </w:rPr>
        <w:t>萬</w:t>
      </w:r>
      <w:r w:rsidR="003A4699">
        <w:rPr>
          <w:rFonts w:hAnsi="標楷體" w:hint="eastAsia"/>
        </w:rPr>
        <w:t>3</w:t>
      </w:r>
      <w:r w:rsidR="00CF1E86">
        <w:rPr>
          <w:rFonts w:hAnsi="標楷體" w:hint="eastAsia"/>
        </w:rPr>
        <w:t>千元；併計前揭營業利益及營業外利益之稅前淨利7</w:t>
      </w:r>
      <w:r w:rsidRPr="00100CFE">
        <w:rPr>
          <w:rFonts w:hAnsi="標楷體" w:hint="eastAsia"/>
        </w:rPr>
        <w:t>億</w:t>
      </w:r>
      <w:r w:rsidR="00CF1E86">
        <w:rPr>
          <w:rFonts w:hAnsi="標楷體" w:hint="eastAsia"/>
        </w:rPr>
        <w:t>6,789</w:t>
      </w:r>
      <w:r w:rsidRPr="00100CFE">
        <w:rPr>
          <w:rFonts w:hAnsi="標楷體" w:hint="eastAsia"/>
        </w:rPr>
        <w:t>萬</w:t>
      </w:r>
      <w:r w:rsidR="00CF1E86">
        <w:rPr>
          <w:rFonts w:hAnsi="標楷體" w:hint="eastAsia"/>
        </w:rPr>
        <w:t>9</w:t>
      </w:r>
      <w:r w:rsidRPr="00100CFE">
        <w:rPr>
          <w:rFonts w:hAnsi="標楷體" w:hint="eastAsia"/>
        </w:rPr>
        <w:t>千元，加計所得稅</w:t>
      </w:r>
      <w:r w:rsidR="00CF1E86">
        <w:rPr>
          <w:rFonts w:hAnsi="標楷體" w:hint="eastAsia"/>
        </w:rPr>
        <w:t>利益</w:t>
      </w:r>
      <w:r w:rsidRPr="00100CFE">
        <w:rPr>
          <w:rFonts w:hAnsi="標楷體" w:hint="eastAsia"/>
        </w:rPr>
        <w:t>8億</w:t>
      </w:r>
      <w:r w:rsidR="00CF1E86">
        <w:rPr>
          <w:rFonts w:hAnsi="標楷體" w:hint="eastAsia"/>
        </w:rPr>
        <w:t>6,356</w:t>
      </w:r>
      <w:r w:rsidRPr="00100CFE">
        <w:rPr>
          <w:rFonts w:hAnsi="標楷體" w:hint="eastAsia"/>
        </w:rPr>
        <w:t>萬</w:t>
      </w:r>
      <w:r w:rsidR="00CF1E86">
        <w:rPr>
          <w:rFonts w:hAnsi="標楷體" w:hint="eastAsia"/>
        </w:rPr>
        <w:t>8千元，本期淨利16億3,146</w:t>
      </w:r>
      <w:r w:rsidRPr="00100CFE">
        <w:rPr>
          <w:rFonts w:hAnsi="標楷體" w:hint="eastAsia"/>
        </w:rPr>
        <w:t>萬</w:t>
      </w:r>
      <w:r w:rsidR="00CF1E86">
        <w:rPr>
          <w:rFonts w:hAnsi="標楷體" w:hint="eastAsia"/>
        </w:rPr>
        <w:t>7</w:t>
      </w:r>
      <w:r w:rsidRPr="00100CFE">
        <w:rPr>
          <w:rFonts w:hAnsi="標楷體" w:hint="eastAsia"/>
        </w:rPr>
        <w:t>千元，較11</w:t>
      </w:r>
      <w:r w:rsidR="00CF1E86">
        <w:rPr>
          <w:rFonts w:hAnsi="標楷體" w:hint="eastAsia"/>
        </w:rPr>
        <w:t>3</w:t>
      </w:r>
      <w:r w:rsidRPr="00100CFE">
        <w:rPr>
          <w:rFonts w:hAnsi="標楷體" w:hint="eastAsia"/>
        </w:rPr>
        <w:t>年度</w:t>
      </w:r>
      <w:r w:rsidR="0009687A" w:rsidRPr="00100CFE">
        <w:rPr>
          <w:rFonts w:hAnsi="標楷體" w:hint="eastAsia"/>
        </w:rPr>
        <w:t>預算</w:t>
      </w:r>
      <w:r w:rsidRPr="00100CFE">
        <w:rPr>
          <w:rFonts w:hAnsi="標楷體" w:hint="eastAsia"/>
        </w:rPr>
        <w:t>本期淨損5億</w:t>
      </w:r>
      <w:r w:rsidR="00CF1E86">
        <w:rPr>
          <w:rFonts w:hAnsi="標楷體" w:hint="eastAsia"/>
        </w:rPr>
        <w:t>4,735</w:t>
      </w:r>
      <w:r w:rsidRPr="00100CFE">
        <w:rPr>
          <w:rFonts w:hAnsi="標楷體" w:hint="eastAsia"/>
        </w:rPr>
        <w:t>萬元，</w:t>
      </w:r>
      <w:r w:rsidR="00CF1E86">
        <w:rPr>
          <w:rFonts w:hAnsi="標楷體" w:hint="eastAsia"/>
        </w:rPr>
        <w:t>增加利益21</w:t>
      </w:r>
      <w:r w:rsidRPr="00100CFE">
        <w:rPr>
          <w:rFonts w:hAnsi="標楷體" w:hint="eastAsia"/>
        </w:rPr>
        <w:t>億</w:t>
      </w:r>
      <w:r w:rsidR="00CF1E86">
        <w:rPr>
          <w:rFonts w:hAnsi="標楷體" w:hint="eastAsia"/>
        </w:rPr>
        <w:t>7,881</w:t>
      </w:r>
      <w:r w:rsidRPr="00100CFE">
        <w:rPr>
          <w:rFonts w:hAnsi="標楷體" w:hint="eastAsia"/>
        </w:rPr>
        <w:t>萬</w:t>
      </w:r>
      <w:r w:rsidR="00CF1E86">
        <w:rPr>
          <w:rFonts w:hAnsi="標楷體" w:hint="eastAsia"/>
        </w:rPr>
        <w:t>7</w:t>
      </w:r>
      <w:r w:rsidRPr="00100CFE">
        <w:rPr>
          <w:rFonts w:hAnsi="標楷體" w:hint="eastAsia"/>
        </w:rPr>
        <w:t>千元。茲就臺銀人壽</w:t>
      </w:r>
      <w:r w:rsidR="00CF1E86">
        <w:rPr>
          <w:rFonts w:hAnsi="標楷體" w:hint="eastAsia"/>
        </w:rPr>
        <w:t>113</w:t>
      </w:r>
      <w:r w:rsidRPr="00100CFE">
        <w:rPr>
          <w:rFonts w:hAnsi="標楷體" w:hint="eastAsia"/>
        </w:rPr>
        <w:t>年度決算案評估如下：</w:t>
      </w:r>
    </w:p>
    <w:p w:rsidR="00FA2182" w:rsidRPr="00590B95" w:rsidRDefault="00F74C59" w:rsidP="00FA2182">
      <w:pPr>
        <w:pStyle w:val="14"/>
        <w:ind w:left="567" w:hanging="567"/>
      </w:pPr>
      <w:bookmarkStart w:id="2" w:name="_Toc402274588"/>
      <w:bookmarkStart w:id="3" w:name="_Toc225434941"/>
      <w:r w:rsidRPr="00590B95">
        <w:rPr>
          <w:rFonts w:hint="eastAsia"/>
        </w:rPr>
        <w:t>二</w:t>
      </w:r>
      <w:r w:rsidR="00FA2182" w:rsidRPr="00590B95">
        <w:rPr>
          <w:rFonts w:hint="eastAsia"/>
        </w:rPr>
        <w:t>、</w:t>
      </w:r>
      <w:r w:rsidR="00221859" w:rsidRPr="00590B95">
        <w:rPr>
          <w:rFonts w:hint="eastAsia"/>
        </w:rPr>
        <w:t>因應</w:t>
      </w:r>
      <w:r w:rsidR="007F05F2" w:rsidRPr="00590B95">
        <w:rPr>
          <w:rFonts w:hint="eastAsia"/>
        </w:rPr>
        <w:t>115年度實施IFRS 17及新一代清償能力制度，對資本適足性及獲利能力影響頗鉅，允宜審慎規劃並提升經營績效，俾健全財務結構</w:t>
      </w:r>
      <w:bookmarkEnd w:id="3"/>
    </w:p>
    <w:p w:rsidR="00FA2182" w:rsidRPr="00F15639" w:rsidRDefault="00221859" w:rsidP="00FA2182">
      <w:pPr>
        <w:ind w:left="566" w:firstLine="566"/>
        <w:rPr>
          <w:rFonts w:hAnsi="標楷體"/>
        </w:rPr>
      </w:pPr>
      <w:r w:rsidRPr="00F15639">
        <w:rPr>
          <w:rFonts w:hAnsi="標楷體" w:hint="eastAsia"/>
        </w:rPr>
        <w:t>臺銀人壽11</w:t>
      </w:r>
      <w:r w:rsidR="00466B7E" w:rsidRPr="00F15639">
        <w:rPr>
          <w:rFonts w:hAnsi="標楷體" w:hint="eastAsia"/>
        </w:rPr>
        <w:t>3</w:t>
      </w:r>
      <w:r w:rsidRPr="00F15639">
        <w:rPr>
          <w:rFonts w:hAnsi="標楷體" w:hint="eastAsia"/>
        </w:rPr>
        <w:t>年度決算淨</w:t>
      </w:r>
      <w:r w:rsidR="00CC5E34" w:rsidRPr="00F15639">
        <w:rPr>
          <w:rFonts w:hAnsi="標楷體" w:hint="eastAsia"/>
        </w:rPr>
        <w:t>利</w:t>
      </w:r>
      <w:r w:rsidR="00466B7E" w:rsidRPr="00F15639">
        <w:rPr>
          <w:rFonts w:hAnsi="標楷體" w:hint="eastAsia"/>
        </w:rPr>
        <w:t>16億3,146萬7千元</w:t>
      </w:r>
      <w:r w:rsidRPr="00F15639">
        <w:rPr>
          <w:rFonts w:hAnsi="標楷體" w:hint="eastAsia"/>
        </w:rPr>
        <w:t>，較11</w:t>
      </w:r>
      <w:r w:rsidR="00CC5E34" w:rsidRPr="00F15639">
        <w:rPr>
          <w:rFonts w:hAnsi="標楷體" w:hint="eastAsia"/>
        </w:rPr>
        <w:t>2</w:t>
      </w:r>
      <w:r w:rsidRPr="00F15639">
        <w:rPr>
          <w:rFonts w:hAnsi="標楷體" w:hint="eastAsia"/>
        </w:rPr>
        <w:t>年度淨損</w:t>
      </w:r>
      <w:r w:rsidR="00466B7E" w:rsidRPr="00F15639">
        <w:rPr>
          <w:rFonts w:hAnsi="標楷體" w:hint="eastAsia"/>
        </w:rPr>
        <w:t>9,834萬8千元</w:t>
      </w:r>
      <w:r w:rsidRPr="00F15639">
        <w:rPr>
          <w:rFonts w:hAnsi="標楷體" w:hint="eastAsia"/>
        </w:rPr>
        <w:t>，</w:t>
      </w:r>
      <w:r w:rsidR="00800963">
        <w:rPr>
          <w:rFonts w:hAnsi="標楷體" w:hint="eastAsia"/>
        </w:rPr>
        <w:t>增加利益</w:t>
      </w:r>
      <w:r w:rsidR="00F15639" w:rsidRPr="00F15639">
        <w:rPr>
          <w:rFonts w:hAnsi="標楷體" w:hint="eastAsia"/>
        </w:rPr>
        <w:t>17</w:t>
      </w:r>
      <w:r w:rsidRPr="00F15639">
        <w:rPr>
          <w:rFonts w:hAnsi="標楷體" w:hint="eastAsia"/>
        </w:rPr>
        <w:t>億</w:t>
      </w:r>
      <w:r w:rsidR="00F15639" w:rsidRPr="00F15639">
        <w:rPr>
          <w:rFonts w:hAnsi="標楷體" w:hint="eastAsia"/>
        </w:rPr>
        <w:t>2,981</w:t>
      </w:r>
      <w:r w:rsidRPr="00F15639">
        <w:rPr>
          <w:rFonts w:hAnsi="標楷體" w:hint="eastAsia"/>
        </w:rPr>
        <w:t>萬</w:t>
      </w:r>
      <w:r w:rsidR="00F15639" w:rsidRPr="00F15639">
        <w:rPr>
          <w:rFonts w:hAnsi="標楷體" w:hint="eastAsia"/>
        </w:rPr>
        <w:t>5</w:t>
      </w:r>
      <w:r w:rsidRPr="00F15639">
        <w:rPr>
          <w:rFonts w:hAnsi="標楷體" w:hint="eastAsia"/>
        </w:rPr>
        <w:t>千元。經查：</w:t>
      </w:r>
    </w:p>
    <w:p w:rsidR="00FA2182" w:rsidRPr="00B95C5C" w:rsidRDefault="00FA2182" w:rsidP="00FA2182">
      <w:pPr>
        <w:pStyle w:val="a4"/>
        <w:ind w:left="849" w:hanging="283"/>
        <w:rPr>
          <w:rFonts w:hAnsi="標楷體"/>
        </w:rPr>
      </w:pPr>
      <w:r w:rsidRPr="00B95C5C">
        <w:rPr>
          <w:rFonts w:hAnsi="標楷體" w:hint="eastAsia"/>
        </w:rPr>
        <w:t>(</w:t>
      </w:r>
      <w:r w:rsidRPr="00B95C5C">
        <w:rPr>
          <w:rFonts w:hAnsi="標楷體" w:hint="eastAsia"/>
          <w:lang w:eastAsia="zh-HK"/>
        </w:rPr>
        <w:t>一</w:t>
      </w:r>
      <w:r w:rsidRPr="00B95C5C">
        <w:rPr>
          <w:rFonts w:hAnsi="標楷體" w:hint="eastAsia"/>
        </w:rPr>
        <w:t>)</w:t>
      </w:r>
      <w:r w:rsidR="00336C59">
        <w:rPr>
          <w:rFonts w:hAnsi="標楷體" w:hint="eastAsia"/>
        </w:rPr>
        <w:t>配合</w:t>
      </w:r>
      <w:r w:rsidR="00221859" w:rsidRPr="00B95C5C">
        <w:rPr>
          <w:rFonts w:hAnsi="標楷體" w:hint="eastAsia"/>
        </w:rPr>
        <w:t>115</w:t>
      </w:r>
      <w:r w:rsidR="00336C59">
        <w:rPr>
          <w:rFonts w:hAnsi="標楷體" w:hint="eastAsia"/>
        </w:rPr>
        <w:t>年度</w:t>
      </w:r>
      <w:r w:rsidR="00221859" w:rsidRPr="00B95C5C">
        <w:rPr>
          <w:rFonts w:hAnsi="標楷體" w:hint="eastAsia"/>
        </w:rPr>
        <w:t>IFRS 17及新一代清償能力制度</w:t>
      </w:r>
      <w:r w:rsidR="00336C59">
        <w:rPr>
          <w:rFonts w:hAnsi="標楷體" w:hint="eastAsia"/>
        </w:rPr>
        <w:t>之實施</w:t>
      </w:r>
      <w:r w:rsidR="00330E92">
        <w:rPr>
          <w:rFonts w:hAnsi="標楷體" w:hint="eastAsia"/>
        </w:rPr>
        <w:t>，</w:t>
      </w:r>
      <w:r w:rsidR="00330E92">
        <w:rPr>
          <w:rFonts w:hint="eastAsia"/>
        </w:rPr>
        <w:t>允</w:t>
      </w:r>
      <w:r w:rsidR="00330E92" w:rsidRPr="00B95C5C">
        <w:rPr>
          <w:rFonts w:hint="eastAsia"/>
        </w:rPr>
        <w:t>宜妥為因應</w:t>
      </w:r>
      <w:r w:rsidR="00336C59">
        <w:rPr>
          <w:rFonts w:hint="eastAsia"/>
        </w:rPr>
        <w:t>資本適足率</w:t>
      </w:r>
      <w:r w:rsidR="00E1113D">
        <w:rPr>
          <w:rFonts w:hint="eastAsia"/>
        </w:rPr>
        <w:t>等</w:t>
      </w:r>
      <w:r w:rsidR="00336C59">
        <w:rPr>
          <w:rFonts w:hint="eastAsia"/>
        </w:rPr>
        <w:t>問題</w:t>
      </w:r>
    </w:p>
    <w:p w:rsidR="00CA6193" w:rsidRDefault="0009687A" w:rsidP="00907754">
      <w:pPr>
        <w:pStyle w:val="21"/>
        <w:ind w:left="850" w:firstLine="566"/>
      </w:pPr>
      <w:r>
        <w:t>為接軌國際規範，我國保險業</w:t>
      </w:r>
      <w:r w:rsidR="00F15639">
        <w:t>於115年度起實施</w:t>
      </w:r>
      <w:r w:rsidR="007F05F2">
        <w:rPr>
          <w:rFonts w:hint="eastAsia"/>
        </w:rPr>
        <w:t>國際財務報導準則第17號(</w:t>
      </w:r>
      <w:r w:rsidR="00F15639">
        <w:t>IFRS 17</w:t>
      </w:r>
      <w:r w:rsidR="007F05F2">
        <w:rPr>
          <w:rFonts w:hint="eastAsia"/>
        </w:rPr>
        <w:t>)「保險合約」</w:t>
      </w:r>
      <w:r w:rsidR="00F15639">
        <w:t>及新一代清償能力</w:t>
      </w:r>
      <w:r w:rsidR="00F15639" w:rsidRPr="00CA6193">
        <w:t>制度</w:t>
      </w:r>
      <w:r w:rsidR="00CA6193" w:rsidRPr="00CA6193">
        <w:t>。屆時保險資產與負債</w:t>
      </w:r>
      <w:r w:rsidR="00F15639" w:rsidRPr="00CA6193">
        <w:t>改採</w:t>
      </w:r>
      <w:r w:rsidR="00F15639" w:rsidRPr="00CA6193">
        <w:rPr>
          <w:bCs/>
        </w:rPr>
        <w:t>公允價值</w:t>
      </w:r>
      <w:r w:rsidR="00F15639" w:rsidRPr="00CA6193">
        <w:t>衡量，且收入認列</w:t>
      </w:r>
      <w:r w:rsidR="00CA6193" w:rsidRPr="00CA6193">
        <w:rPr>
          <w:rFonts w:hint="eastAsia"/>
        </w:rPr>
        <w:t>方法</w:t>
      </w:r>
      <w:r w:rsidR="00F15639" w:rsidRPr="00CA6193">
        <w:t>將由現行之「現金收付制」轉向「服務提供制」，即</w:t>
      </w:r>
      <w:r w:rsidR="00F15639" w:rsidRPr="00CA6193">
        <w:rPr>
          <w:bCs/>
        </w:rPr>
        <w:t>保險合約服務利潤（CSM）須依保險服務之實際提供進度逐期認列</w:t>
      </w:r>
      <w:r w:rsidR="00CA6193" w:rsidRPr="00CA6193">
        <w:rPr>
          <w:rFonts w:hint="eastAsia"/>
          <w:bCs/>
        </w:rPr>
        <w:t>；另</w:t>
      </w:r>
      <w:r w:rsidR="00F15639" w:rsidRPr="00CA6193">
        <w:rPr>
          <w:bCs/>
        </w:rPr>
        <w:t>準備金之提存將改採現時履約模型</w:t>
      </w:r>
      <w:r w:rsidR="00F15639" w:rsidRPr="00CA6193">
        <w:t>，以</w:t>
      </w:r>
      <w:r w:rsidR="00CA6193" w:rsidRPr="00CA6193">
        <w:rPr>
          <w:rFonts w:hint="eastAsia"/>
        </w:rPr>
        <w:t>合理</w:t>
      </w:r>
      <w:r w:rsidR="00F15639" w:rsidRPr="00CA6193">
        <w:t>反映利率變動對</w:t>
      </w:r>
      <w:r w:rsidR="00F15639">
        <w:t>保險負債之影響。</w:t>
      </w:r>
    </w:p>
    <w:p w:rsidR="00122E23" w:rsidRDefault="00CA6193" w:rsidP="00907754">
      <w:pPr>
        <w:pStyle w:val="21"/>
        <w:ind w:left="850" w:firstLine="566"/>
      </w:pPr>
      <w:r>
        <w:rPr>
          <w:rFonts w:hint="eastAsia"/>
        </w:rPr>
        <w:t>另</w:t>
      </w:r>
      <w:r w:rsidR="00221859" w:rsidRPr="00B95C5C">
        <w:rPr>
          <w:rFonts w:hint="eastAsia"/>
        </w:rPr>
        <w:t>依保險法第</w:t>
      </w:r>
      <w:r w:rsidR="00221859" w:rsidRPr="00B95C5C">
        <w:t>143</w:t>
      </w:r>
      <w:r w:rsidR="00221859" w:rsidRPr="00B95C5C">
        <w:rPr>
          <w:rFonts w:hint="eastAsia"/>
        </w:rPr>
        <w:t>條之</w:t>
      </w:r>
      <w:r w:rsidR="00221859" w:rsidRPr="00B95C5C">
        <w:t>4</w:t>
      </w:r>
      <w:r w:rsidR="00221859" w:rsidRPr="00B95C5C">
        <w:rPr>
          <w:rFonts w:hint="eastAsia"/>
        </w:rPr>
        <w:t>及</w:t>
      </w:r>
      <w:r>
        <w:rPr>
          <w:rFonts w:hint="eastAsia"/>
        </w:rPr>
        <w:t>保險業資</w:t>
      </w:r>
      <w:r w:rsidR="00221859" w:rsidRPr="00B95C5C">
        <w:rPr>
          <w:rFonts w:hint="eastAsia"/>
        </w:rPr>
        <w:t>本適足性管理辧法第</w:t>
      </w:r>
      <w:r w:rsidR="00221859" w:rsidRPr="00B95C5C">
        <w:t>5</w:t>
      </w:r>
      <w:r w:rsidR="00221859" w:rsidRPr="00B95C5C">
        <w:rPr>
          <w:rFonts w:hint="eastAsia"/>
        </w:rPr>
        <w:lastRenderedPageBreak/>
        <w:t>條第</w:t>
      </w:r>
      <w:r w:rsidR="00221859" w:rsidRPr="00B95C5C">
        <w:t>1</w:t>
      </w:r>
      <w:r w:rsidR="00221859" w:rsidRPr="00B95C5C">
        <w:rPr>
          <w:rFonts w:hint="eastAsia"/>
        </w:rPr>
        <w:t>項第</w:t>
      </w:r>
      <w:r w:rsidR="00221859" w:rsidRPr="00B95C5C">
        <w:t>1</w:t>
      </w:r>
      <w:r>
        <w:rPr>
          <w:rFonts w:hint="eastAsia"/>
        </w:rPr>
        <w:t>款</w:t>
      </w:r>
      <w:r w:rsidR="00221859" w:rsidRPr="00B95C5C">
        <w:rPr>
          <w:rFonts w:hint="eastAsia"/>
        </w:rPr>
        <w:t>規定略以，保險業</w:t>
      </w:r>
      <w:r>
        <w:rPr>
          <w:rFonts w:hint="eastAsia"/>
        </w:rPr>
        <w:t>之資本適足率應</w:t>
      </w:r>
      <w:r w:rsidR="00221859" w:rsidRPr="00B95C5C">
        <w:rPr>
          <w:rFonts w:hint="eastAsia"/>
        </w:rPr>
        <w:t>達</w:t>
      </w:r>
      <w:r w:rsidR="00221859" w:rsidRPr="00B95C5C">
        <w:t>200%(</w:t>
      </w:r>
      <w:r w:rsidR="00221859" w:rsidRPr="00B95C5C">
        <w:rPr>
          <w:rFonts w:hint="eastAsia"/>
        </w:rPr>
        <w:t>即自有資本應為風險加權資產</w:t>
      </w:r>
      <w:r w:rsidR="0009687A">
        <w:rPr>
          <w:rFonts w:hint="eastAsia"/>
        </w:rPr>
        <w:t>之二</w:t>
      </w:r>
      <w:r w:rsidR="00221859" w:rsidRPr="00B95C5C">
        <w:rPr>
          <w:rFonts w:hint="eastAsia"/>
        </w:rPr>
        <w:t>倍)</w:t>
      </w:r>
      <w:r w:rsidR="00330E92">
        <w:rPr>
          <w:rFonts w:hint="eastAsia"/>
        </w:rPr>
        <w:t>，</w:t>
      </w:r>
      <w:r w:rsidR="00221859" w:rsidRPr="00B95C5C">
        <w:rPr>
          <w:rFonts w:hint="eastAsia"/>
        </w:rPr>
        <w:t>且最近</w:t>
      </w:r>
      <w:r w:rsidR="008871B5">
        <w:rPr>
          <w:rFonts w:hint="eastAsia"/>
        </w:rPr>
        <w:t>2期淨值比率至少</w:t>
      </w:r>
      <w:r w:rsidR="00330E92">
        <w:rPr>
          <w:rFonts w:hint="eastAsia"/>
        </w:rPr>
        <w:t>有</w:t>
      </w:r>
      <w:r w:rsidR="008871B5">
        <w:rPr>
          <w:rFonts w:hint="eastAsia"/>
        </w:rPr>
        <w:t>1</w:t>
      </w:r>
      <w:r w:rsidR="00221859" w:rsidRPr="00B95C5C">
        <w:rPr>
          <w:rFonts w:hint="eastAsia"/>
        </w:rPr>
        <w:t>期達3%</w:t>
      </w:r>
      <w:r w:rsidR="00221859" w:rsidRPr="00B95C5C">
        <w:rPr>
          <w:rStyle w:val="af5"/>
        </w:rPr>
        <w:footnoteReference w:id="1"/>
      </w:r>
      <w:r w:rsidR="00221859" w:rsidRPr="00B95C5C">
        <w:rPr>
          <w:rFonts w:hint="eastAsia"/>
        </w:rPr>
        <w:t>。</w:t>
      </w:r>
      <w:r w:rsidR="00330E92">
        <w:rPr>
          <w:rFonts w:hint="eastAsia"/>
        </w:rPr>
        <w:t>是以，</w:t>
      </w:r>
      <w:r w:rsidR="00221859" w:rsidRPr="00B95C5C">
        <w:rPr>
          <w:rFonts w:hint="eastAsia"/>
        </w:rPr>
        <w:t>臺銀人壽</w:t>
      </w:r>
      <w:r w:rsidR="00330E92">
        <w:rPr>
          <w:rFonts w:hint="eastAsia"/>
        </w:rPr>
        <w:t>允</w:t>
      </w:r>
      <w:r w:rsidR="00221859" w:rsidRPr="00B95C5C">
        <w:rPr>
          <w:rFonts w:hint="eastAsia"/>
        </w:rPr>
        <w:t>宜妥為因應IFRS 17實施後之資本適足率</w:t>
      </w:r>
      <w:r w:rsidR="00B337B4">
        <w:rPr>
          <w:rFonts w:hint="eastAsia"/>
        </w:rPr>
        <w:t>及資產與負債衡量等</w:t>
      </w:r>
      <w:r w:rsidR="00221859" w:rsidRPr="00B95C5C">
        <w:rPr>
          <w:rFonts w:hint="eastAsia"/>
        </w:rPr>
        <w:t>問題。</w:t>
      </w:r>
    </w:p>
    <w:p w:rsidR="008B7225" w:rsidRPr="00330E92" w:rsidRDefault="008B7225" w:rsidP="008B7225">
      <w:pPr>
        <w:pStyle w:val="a4"/>
        <w:ind w:left="849" w:hanging="283"/>
        <w:rPr>
          <w:rFonts w:hAnsi="標楷體"/>
        </w:rPr>
      </w:pPr>
      <w:r w:rsidRPr="00330E92">
        <w:rPr>
          <w:rFonts w:hAnsi="標楷體" w:hint="eastAsia"/>
        </w:rPr>
        <w:t>(二)</w:t>
      </w:r>
      <w:r w:rsidR="00221859" w:rsidRPr="00330E92">
        <w:rPr>
          <w:rFonts w:hAnsi="標楷體" w:hint="eastAsia"/>
        </w:rPr>
        <w:t>自</w:t>
      </w:r>
      <w:r w:rsidR="000A3F28" w:rsidRPr="00330E92">
        <w:rPr>
          <w:rFonts w:hAnsi="標楷體" w:hint="eastAsia"/>
        </w:rPr>
        <w:t>臺銀人壽成立後迄113</w:t>
      </w:r>
      <w:r w:rsidR="00221859" w:rsidRPr="00330E92">
        <w:rPr>
          <w:rFonts w:hAnsi="標楷體" w:hint="eastAsia"/>
        </w:rPr>
        <w:t>年</w:t>
      </w:r>
      <w:r w:rsidR="000A3F28" w:rsidRPr="00330E92">
        <w:rPr>
          <w:rFonts w:hAnsi="標楷體" w:hint="eastAsia"/>
        </w:rPr>
        <w:t>底</w:t>
      </w:r>
      <w:r w:rsidR="00221859" w:rsidRPr="00330E92">
        <w:rPr>
          <w:rFonts w:hAnsi="標楷體" w:hint="eastAsia"/>
        </w:rPr>
        <w:t>，僅</w:t>
      </w:r>
      <w:r w:rsidR="000A3F28" w:rsidRPr="00330E92">
        <w:rPr>
          <w:rFonts w:hAnsi="標楷體" w:hint="eastAsia"/>
        </w:rPr>
        <w:t>6</w:t>
      </w:r>
      <w:r w:rsidR="00221859" w:rsidRPr="00330E92">
        <w:rPr>
          <w:rFonts w:hAnsi="標楷體" w:hint="eastAsia"/>
        </w:rPr>
        <w:t>個年度有盈</w:t>
      </w:r>
      <w:r w:rsidR="000A3F28" w:rsidRPr="00330E92">
        <w:rPr>
          <w:rFonts w:hAnsi="標楷體" w:hint="eastAsia"/>
        </w:rPr>
        <w:t>利</w:t>
      </w:r>
      <w:r w:rsidR="00221859" w:rsidRPr="00330E92">
        <w:rPr>
          <w:rFonts w:hAnsi="標楷體" w:hint="eastAsia"/>
        </w:rPr>
        <w:t>，</w:t>
      </w:r>
      <w:r w:rsidR="0009687A">
        <w:rPr>
          <w:rFonts w:hAnsi="標楷體" w:hint="eastAsia"/>
        </w:rPr>
        <w:t>且經政府</w:t>
      </w:r>
      <w:r w:rsidR="00800963">
        <w:rPr>
          <w:rFonts w:hAnsi="標楷體" w:hint="eastAsia"/>
        </w:rPr>
        <w:t>多次</w:t>
      </w:r>
      <w:r w:rsidR="00221859" w:rsidRPr="00330E92">
        <w:rPr>
          <w:rFonts w:hAnsi="標楷體" w:hint="eastAsia"/>
        </w:rPr>
        <w:t>增資撥補</w:t>
      </w:r>
      <w:r w:rsidR="00E1113D">
        <w:rPr>
          <w:rFonts w:hint="eastAsia"/>
          <w:snapToGrid/>
        </w:rPr>
        <w:t>，</w:t>
      </w:r>
      <w:r w:rsidR="00E1113D">
        <w:rPr>
          <w:rFonts w:hint="eastAsia"/>
        </w:rPr>
        <w:t>資本適足率</w:t>
      </w:r>
      <w:r w:rsidR="00E1113D" w:rsidRPr="00800963">
        <w:rPr>
          <w:rFonts w:hint="eastAsia"/>
        </w:rPr>
        <w:t>始達法定標準</w:t>
      </w:r>
    </w:p>
    <w:p w:rsidR="00221859" w:rsidRPr="000E6C7B" w:rsidRDefault="00330E92" w:rsidP="008B7225">
      <w:pPr>
        <w:pStyle w:val="21"/>
        <w:ind w:left="850" w:firstLine="566"/>
        <w:rPr>
          <w:snapToGrid/>
        </w:rPr>
      </w:pPr>
      <w:r w:rsidRPr="000E6C7B">
        <w:rPr>
          <w:rFonts w:hint="eastAsia"/>
          <w:snapToGrid/>
        </w:rPr>
        <w:t>臺銀人壽</w:t>
      </w:r>
      <w:r w:rsidR="00221859" w:rsidRPr="000E6C7B">
        <w:rPr>
          <w:rFonts w:hint="eastAsia"/>
          <w:snapToGrid/>
        </w:rPr>
        <w:t>前</w:t>
      </w:r>
      <w:r w:rsidR="000B4E73" w:rsidRPr="000E6C7B">
        <w:rPr>
          <w:rFonts w:hint="eastAsia"/>
          <w:snapToGrid/>
        </w:rPr>
        <w:t>身中央信託局人壽保險處</w:t>
      </w:r>
      <w:r w:rsidR="00221859" w:rsidRPr="000E6C7B">
        <w:rPr>
          <w:rFonts w:hint="eastAsia"/>
          <w:snapToGrid/>
        </w:rPr>
        <w:t>銷售</w:t>
      </w:r>
      <w:r w:rsidR="000B4E73" w:rsidRPr="000E6C7B">
        <w:rPr>
          <w:rFonts w:hint="eastAsia"/>
          <w:snapToGrid/>
        </w:rPr>
        <w:t>之保單所負擔</w:t>
      </w:r>
      <w:r w:rsidR="00186A99">
        <w:rPr>
          <w:rFonts w:hint="eastAsia"/>
          <w:snapToGrid/>
        </w:rPr>
        <w:t>之</w:t>
      </w:r>
      <w:r w:rsidR="00221859" w:rsidRPr="000E6C7B">
        <w:rPr>
          <w:rFonts w:hint="eastAsia"/>
          <w:snapToGrid/>
        </w:rPr>
        <w:t>高預定利率遠高於</w:t>
      </w:r>
      <w:r w:rsidR="000B4E73" w:rsidRPr="000E6C7B">
        <w:rPr>
          <w:rFonts w:hint="eastAsia"/>
          <w:snapToGrid/>
        </w:rPr>
        <w:t>該公司成立後</w:t>
      </w:r>
      <w:r w:rsidR="00221859" w:rsidRPr="000E6C7B">
        <w:rPr>
          <w:rFonts w:hint="eastAsia"/>
          <w:snapToGrid/>
        </w:rPr>
        <w:t>銷售保單之利率水準，兩者差額</w:t>
      </w:r>
      <w:r w:rsidR="00457A2D">
        <w:rPr>
          <w:rFonts w:hint="eastAsia"/>
          <w:snapToGrid/>
        </w:rPr>
        <w:t>須</w:t>
      </w:r>
      <w:r w:rsidR="00221859" w:rsidRPr="000E6C7B">
        <w:rPr>
          <w:rFonts w:hint="eastAsia"/>
          <w:snapToGrid/>
        </w:rPr>
        <w:t>多負</w:t>
      </w:r>
      <w:r w:rsidR="00457A2D">
        <w:rPr>
          <w:rFonts w:hint="eastAsia"/>
          <w:snapToGrid/>
        </w:rPr>
        <w:t>擔之成本，形成結構性之「</w:t>
      </w:r>
      <w:r w:rsidR="00221859" w:rsidRPr="000E6C7B">
        <w:rPr>
          <w:rFonts w:hint="eastAsia"/>
          <w:snapToGrid/>
        </w:rPr>
        <w:t>利差損」；</w:t>
      </w:r>
      <w:r w:rsidR="00186A99">
        <w:rPr>
          <w:rFonts w:hint="eastAsia"/>
          <w:snapToGrid/>
        </w:rPr>
        <w:t>該公司</w:t>
      </w:r>
      <w:r w:rsidR="00221859" w:rsidRPr="000E6C7B">
        <w:rPr>
          <w:rFonts w:hint="eastAsia"/>
          <w:snapToGrid/>
        </w:rPr>
        <w:t>97</w:t>
      </w:r>
      <w:r w:rsidR="00186A99">
        <w:rPr>
          <w:rFonts w:hint="eastAsia"/>
          <w:snapToGrid/>
        </w:rPr>
        <w:t>年度設立之</w:t>
      </w:r>
      <w:r w:rsidR="00221859" w:rsidRPr="000E6C7B">
        <w:rPr>
          <w:rFonts w:hint="eastAsia"/>
          <w:snapToGrid/>
        </w:rPr>
        <w:t>初期資本</w:t>
      </w:r>
      <w:r w:rsidR="00186A99">
        <w:rPr>
          <w:rFonts w:hint="eastAsia"/>
          <w:snapToGrid/>
        </w:rPr>
        <w:t>為</w:t>
      </w:r>
      <w:r w:rsidR="00221859" w:rsidRPr="000E6C7B">
        <w:rPr>
          <w:rFonts w:hint="eastAsia"/>
          <w:snapToGrid/>
        </w:rPr>
        <w:t>50億元，惟當年度決算</w:t>
      </w:r>
      <w:r w:rsidR="0009687A">
        <w:rPr>
          <w:rFonts w:hint="eastAsia"/>
          <w:snapToGrid/>
        </w:rPr>
        <w:t>「</w:t>
      </w:r>
      <w:r w:rsidR="00221859" w:rsidRPr="000E6C7B">
        <w:rPr>
          <w:rFonts w:hint="eastAsia"/>
          <w:snapToGrid/>
        </w:rPr>
        <w:t>利差損</w:t>
      </w:r>
      <w:r w:rsidR="0009687A">
        <w:rPr>
          <w:rFonts w:hint="eastAsia"/>
          <w:snapToGrid/>
        </w:rPr>
        <w:t>」</w:t>
      </w:r>
      <w:r w:rsidR="00221859" w:rsidRPr="000E6C7B">
        <w:rPr>
          <w:rFonts w:hint="eastAsia"/>
          <w:snapToGrid/>
        </w:rPr>
        <w:t>為22.5</w:t>
      </w:r>
      <w:r w:rsidR="0009687A">
        <w:rPr>
          <w:rFonts w:hint="eastAsia"/>
          <w:snapToGrid/>
        </w:rPr>
        <w:t>億元。隨著利率持續降低，該公司「</w:t>
      </w:r>
      <w:r w:rsidR="00221859" w:rsidRPr="000E6C7B">
        <w:rPr>
          <w:rFonts w:hint="eastAsia"/>
          <w:snapToGrid/>
        </w:rPr>
        <w:t>利差損</w:t>
      </w:r>
      <w:r w:rsidR="0009687A">
        <w:rPr>
          <w:rFonts w:hint="eastAsia"/>
          <w:snapToGrid/>
        </w:rPr>
        <w:t>」持續增加、</w:t>
      </w:r>
      <w:r w:rsidR="00221859" w:rsidRPr="000E6C7B">
        <w:rPr>
          <w:rFonts w:hint="eastAsia"/>
          <w:snapToGrid/>
        </w:rPr>
        <w:t>虧損擴大，</w:t>
      </w:r>
      <w:r w:rsidR="00186A99">
        <w:rPr>
          <w:rFonts w:hint="eastAsia"/>
          <w:snapToGrid/>
        </w:rPr>
        <w:t>且</w:t>
      </w:r>
      <w:r w:rsidR="00221859" w:rsidRPr="000E6C7B">
        <w:rPr>
          <w:rFonts w:hint="eastAsia"/>
          <w:snapToGrid/>
        </w:rPr>
        <w:t>期間臺美利差擴大，避險成本</w:t>
      </w:r>
      <w:r w:rsidR="00186A99">
        <w:rPr>
          <w:rFonts w:hint="eastAsia"/>
          <w:snapToGrid/>
        </w:rPr>
        <w:t>亦</w:t>
      </w:r>
      <w:r w:rsidR="00221859" w:rsidRPr="000E6C7B">
        <w:rPr>
          <w:rFonts w:hint="eastAsia"/>
          <w:snapToGrid/>
        </w:rPr>
        <w:t>大幅攀升，稅前損益概為淨損(詳表1)，</w:t>
      </w:r>
      <w:r w:rsidR="00186A99">
        <w:rPr>
          <w:rFonts w:hint="eastAsia"/>
          <w:snapToGrid/>
        </w:rPr>
        <w:t>自公司</w:t>
      </w:r>
      <w:r w:rsidR="00221859" w:rsidRPr="000E6C7B">
        <w:rPr>
          <w:rFonts w:hint="eastAsia"/>
          <w:snapToGrid/>
        </w:rPr>
        <w:t>成立迄11</w:t>
      </w:r>
      <w:r w:rsidR="000B4E73" w:rsidRPr="000E6C7B">
        <w:rPr>
          <w:rFonts w:hint="eastAsia"/>
          <w:snapToGrid/>
        </w:rPr>
        <w:t>3</w:t>
      </w:r>
      <w:r w:rsidR="00221859" w:rsidRPr="000E6C7B">
        <w:rPr>
          <w:rFonts w:hint="eastAsia"/>
          <w:snapToGrid/>
        </w:rPr>
        <w:t>年底1</w:t>
      </w:r>
      <w:r w:rsidR="000B4E73" w:rsidRPr="000E6C7B">
        <w:rPr>
          <w:rFonts w:hint="eastAsia"/>
          <w:snapToGrid/>
        </w:rPr>
        <w:t>7</w:t>
      </w:r>
      <w:r w:rsidR="00221859" w:rsidRPr="000E6C7B">
        <w:rPr>
          <w:rFonts w:hint="eastAsia"/>
          <w:snapToGrid/>
        </w:rPr>
        <w:t>年間</w:t>
      </w:r>
      <w:r w:rsidR="00186A99">
        <w:rPr>
          <w:rFonts w:hint="eastAsia"/>
          <w:snapToGrid/>
        </w:rPr>
        <w:t>，</w:t>
      </w:r>
      <w:r w:rsidR="00221859" w:rsidRPr="000E6C7B">
        <w:rPr>
          <w:rFonts w:hint="eastAsia"/>
          <w:snapToGrid/>
        </w:rPr>
        <w:t>僅</w:t>
      </w:r>
      <w:r w:rsidR="000B4E73" w:rsidRPr="000E6C7B">
        <w:rPr>
          <w:rFonts w:hint="eastAsia"/>
          <w:snapToGrid/>
        </w:rPr>
        <w:t>6</w:t>
      </w:r>
      <w:r w:rsidR="00186A99">
        <w:rPr>
          <w:rFonts w:hint="eastAsia"/>
          <w:snapToGrid/>
        </w:rPr>
        <w:t>個年度</w:t>
      </w:r>
      <w:r w:rsidR="00221859" w:rsidRPr="000E6C7B">
        <w:rPr>
          <w:rFonts w:hint="eastAsia"/>
          <w:snapToGrid/>
        </w:rPr>
        <w:t>有盈利，分別為98年度0.03億元、99年度0.63億元、100年度2.86億元、101年度0.18億元</w:t>
      </w:r>
      <w:r w:rsidR="000E6C7B" w:rsidRPr="000E6C7B">
        <w:rPr>
          <w:rFonts w:hint="eastAsia"/>
          <w:snapToGrid/>
        </w:rPr>
        <w:t>、</w:t>
      </w:r>
      <w:r w:rsidR="00221859" w:rsidRPr="000E6C7B">
        <w:rPr>
          <w:rFonts w:hint="eastAsia"/>
          <w:snapToGrid/>
        </w:rPr>
        <w:t>111年度7.36億元</w:t>
      </w:r>
      <w:r w:rsidR="000E6C7B" w:rsidRPr="000E6C7B">
        <w:rPr>
          <w:rFonts w:hint="eastAsia"/>
          <w:snapToGrid/>
        </w:rPr>
        <w:t>及113年度7.68億元</w:t>
      </w:r>
      <w:r w:rsidR="0009687A">
        <w:rPr>
          <w:rFonts w:hint="eastAsia"/>
          <w:snapToGrid/>
        </w:rPr>
        <w:t>；</w:t>
      </w:r>
      <w:r w:rsidR="00D70163">
        <w:rPr>
          <w:rFonts w:hint="eastAsia"/>
          <w:snapToGrid/>
        </w:rPr>
        <w:t>該公司</w:t>
      </w:r>
      <w:r w:rsidR="00221859" w:rsidRPr="000E6C7B">
        <w:rPr>
          <w:rFonts w:hint="eastAsia"/>
          <w:snapToGrid/>
        </w:rPr>
        <w:t>為提升資本適足率，分別於98年度辦理現金增資20億元、99年度40億元、102年度60億元、104年度55億元、107年度100億元、110年度110億元</w:t>
      </w:r>
      <w:r w:rsidR="0009687A">
        <w:rPr>
          <w:rFonts w:hint="eastAsia"/>
          <w:snapToGrid/>
        </w:rPr>
        <w:t>及</w:t>
      </w:r>
      <w:r w:rsidR="00221859" w:rsidRPr="000E6C7B">
        <w:rPr>
          <w:rFonts w:hint="eastAsia"/>
          <w:snapToGrid/>
        </w:rPr>
        <w:t>112年度60億元，以彌補虧損</w:t>
      </w:r>
      <w:r w:rsidR="00D70163">
        <w:rPr>
          <w:rFonts w:hint="eastAsia"/>
          <w:snapToGrid/>
        </w:rPr>
        <w:t>並</w:t>
      </w:r>
      <w:r w:rsidR="00221859" w:rsidRPr="000E6C7B">
        <w:rPr>
          <w:rFonts w:hint="eastAsia"/>
          <w:snapToGrid/>
        </w:rPr>
        <w:t>符合法規要求。據此，截至</w:t>
      </w:r>
      <w:r w:rsidR="000E6C7B" w:rsidRPr="000E6C7B">
        <w:rPr>
          <w:rFonts w:hint="eastAsia"/>
          <w:snapToGrid/>
        </w:rPr>
        <w:t>113</w:t>
      </w:r>
      <w:r w:rsidR="000E6C7B">
        <w:rPr>
          <w:rFonts w:hint="eastAsia"/>
          <w:snapToGrid/>
        </w:rPr>
        <w:t>年</w:t>
      </w:r>
      <w:r w:rsidR="00773DA4">
        <w:rPr>
          <w:rFonts w:hint="eastAsia"/>
          <w:snapToGrid/>
        </w:rPr>
        <w:t>底</w:t>
      </w:r>
      <w:r w:rsidR="000E6C7B">
        <w:rPr>
          <w:rFonts w:hint="eastAsia"/>
          <w:snapToGrid/>
        </w:rPr>
        <w:t>止，政府增撥</w:t>
      </w:r>
      <w:r w:rsidR="00D70163">
        <w:rPr>
          <w:rFonts w:hint="eastAsia"/>
          <w:snapToGrid/>
        </w:rPr>
        <w:t>該公司</w:t>
      </w:r>
      <w:r w:rsidR="00221859" w:rsidRPr="000E6C7B">
        <w:rPr>
          <w:rFonts w:hint="eastAsia"/>
          <w:snapToGrid/>
        </w:rPr>
        <w:t>資</w:t>
      </w:r>
      <w:r w:rsidR="000E6C7B">
        <w:rPr>
          <w:rFonts w:hint="eastAsia"/>
          <w:snapToGrid/>
        </w:rPr>
        <w:t>本</w:t>
      </w:r>
      <w:r w:rsidR="00221859" w:rsidRPr="000E6C7B">
        <w:rPr>
          <w:rFonts w:hint="eastAsia"/>
          <w:snapToGrid/>
        </w:rPr>
        <w:t>7次累計達445</w:t>
      </w:r>
      <w:r w:rsidR="000E6C7B">
        <w:rPr>
          <w:rFonts w:hint="eastAsia"/>
          <w:snapToGrid/>
        </w:rPr>
        <w:t>億元，為</w:t>
      </w:r>
      <w:r w:rsidR="00221859" w:rsidRPr="000E6C7B">
        <w:rPr>
          <w:rFonts w:hint="eastAsia"/>
          <w:snapToGrid/>
        </w:rPr>
        <w:t>設立資本50億元之8.9倍</w:t>
      </w:r>
      <w:r w:rsidR="0009687A">
        <w:rPr>
          <w:rFonts w:hint="eastAsia"/>
          <w:snapToGrid/>
        </w:rPr>
        <w:t>；</w:t>
      </w:r>
      <w:r w:rsidR="00800963" w:rsidRPr="00800963">
        <w:rPr>
          <w:rFonts w:hint="eastAsia"/>
          <w:snapToGrid/>
        </w:rPr>
        <w:t>顯見該公司長期自有資本累積能力不足，</w:t>
      </w:r>
      <w:r w:rsidR="0009687A">
        <w:rPr>
          <w:rFonts w:hint="eastAsia"/>
          <w:snapToGrid/>
        </w:rPr>
        <w:t>需</w:t>
      </w:r>
      <w:r w:rsidR="00800963" w:rsidRPr="00800963">
        <w:rPr>
          <w:rFonts w:hint="eastAsia"/>
          <w:snapToGrid/>
        </w:rPr>
        <w:t>高度仰賴政府增資挹注</w:t>
      </w:r>
      <w:r w:rsidR="00800963">
        <w:rPr>
          <w:rFonts w:hint="eastAsia"/>
          <w:snapToGrid/>
        </w:rPr>
        <w:t>，</w:t>
      </w:r>
      <w:r w:rsidR="00E1113D">
        <w:rPr>
          <w:rFonts w:hint="eastAsia"/>
        </w:rPr>
        <w:t>資本適足率</w:t>
      </w:r>
      <w:r w:rsidR="00800963" w:rsidRPr="00800963">
        <w:rPr>
          <w:rFonts w:hint="eastAsia"/>
        </w:rPr>
        <w:t>始達法定標準</w:t>
      </w:r>
      <w:r w:rsidR="00800963">
        <w:rPr>
          <w:rFonts w:hint="eastAsia"/>
          <w:snapToGrid/>
        </w:rPr>
        <w:t>。</w:t>
      </w:r>
    </w:p>
    <w:p w:rsidR="009779DA" w:rsidRPr="00773DA4" w:rsidRDefault="009779DA" w:rsidP="009779DA">
      <w:pPr>
        <w:spacing w:line="400" w:lineRule="exact"/>
        <w:ind w:leftChars="0" w:left="511" w:rightChars="-17" w:right="-48" w:hangingChars="200" w:hanging="511"/>
        <w:jc w:val="left"/>
        <w:rPr>
          <w:rFonts w:hAnsi="標楷體"/>
          <w:b/>
          <w:bCs/>
          <w:spacing w:val="-14"/>
        </w:rPr>
      </w:pPr>
      <w:r w:rsidRPr="00773DA4">
        <w:rPr>
          <w:rFonts w:hAnsi="標楷體"/>
          <w:b/>
          <w:bCs/>
          <w:spacing w:val="-14"/>
        </w:rPr>
        <w:t>表</w:t>
      </w:r>
      <w:r w:rsidR="0009687A">
        <w:rPr>
          <w:rFonts w:hAnsi="標楷體" w:hint="eastAsia"/>
          <w:b/>
          <w:bCs/>
          <w:spacing w:val="-14"/>
        </w:rPr>
        <w:t>1</w:t>
      </w:r>
      <w:r w:rsidRPr="00773DA4">
        <w:rPr>
          <w:rFonts w:hAnsi="標楷體"/>
          <w:b/>
          <w:bCs/>
          <w:spacing w:val="-14"/>
        </w:rPr>
        <w:t xml:space="preserve"> </w:t>
      </w:r>
      <w:r w:rsidR="00773DA4">
        <w:rPr>
          <w:rFonts w:hAnsi="標楷體" w:hint="eastAsia"/>
          <w:b/>
          <w:bCs/>
          <w:spacing w:val="-14"/>
        </w:rPr>
        <w:t xml:space="preserve"> </w:t>
      </w:r>
      <w:r w:rsidRPr="00773DA4">
        <w:rPr>
          <w:rFonts w:hAnsi="標楷體"/>
          <w:b/>
          <w:bCs/>
          <w:spacing w:val="-14"/>
        </w:rPr>
        <w:t>臺銀人壽</w:t>
      </w:r>
      <w:r w:rsidR="00773DA4" w:rsidRPr="00773DA4">
        <w:rPr>
          <w:rFonts w:hAnsi="標楷體" w:hint="eastAsia"/>
          <w:b/>
          <w:bCs/>
          <w:spacing w:val="-14"/>
        </w:rPr>
        <w:t>97至113年度</w:t>
      </w:r>
      <w:r w:rsidRPr="00773DA4">
        <w:rPr>
          <w:rFonts w:hAnsi="標楷體"/>
          <w:b/>
          <w:bCs/>
          <w:spacing w:val="-14"/>
        </w:rPr>
        <w:t>淨利、資本適足率、資本及政府現金增資情形表</w:t>
      </w:r>
    </w:p>
    <w:p w:rsidR="009779DA" w:rsidRPr="00547DE0" w:rsidRDefault="009779DA" w:rsidP="009779DA">
      <w:pPr>
        <w:pStyle w:val="14-12"/>
        <w:ind w:left="566" w:firstLine="566"/>
        <w:jc w:val="right"/>
        <w:rPr>
          <w:snapToGrid/>
          <w:spacing w:val="0"/>
          <w:sz w:val="20"/>
          <w:szCs w:val="20"/>
        </w:rPr>
      </w:pPr>
      <w:r w:rsidRPr="00547DE0">
        <w:rPr>
          <w:snapToGrid/>
          <w:spacing w:val="0"/>
        </w:rPr>
        <w:lastRenderedPageBreak/>
        <w:t>單位：新臺幣億元</w:t>
      </w:r>
      <w:r w:rsidRPr="00547DE0">
        <w:rPr>
          <w:rFonts w:hint="eastAsia"/>
          <w:snapToGrid/>
          <w:spacing w:val="0"/>
        </w:rPr>
        <w:t>；</w:t>
      </w:r>
      <w:r w:rsidRPr="00547DE0">
        <w:rPr>
          <w:snapToGrid/>
          <w:spacing w:val="0"/>
        </w:rPr>
        <w:t>%</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2"/>
        <w:gridCol w:w="1872"/>
        <w:gridCol w:w="1872"/>
        <w:gridCol w:w="1872"/>
        <w:gridCol w:w="1873"/>
      </w:tblGrid>
      <w:tr w:rsidR="009779DA" w:rsidRPr="009779DA" w:rsidTr="009779DA">
        <w:trPr>
          <w:trHeight w:val="170"/>
          <w:tblHeader/>
        </w:trPr>
        <w:tc>
          <w:tcPr>
            <w:tcW w:w="1092" w:type="dxa"/>
            <w:shd w:val="clear" w:color="auto" w:fill="auto"/>
            <w:vAlign w:val="center"/>
          </w:tcPr>
          <w:p w:rsidR="009779DA" w:rsidRPr="009779DA" w:rsidRDefault="009779DA" w:rsidP="00E37A00">
            <w:pPr>
              <w:pStyle w:val="14-2"/>
              <w:jc w:val="center"/>
              <w:rPr>
                <w:rFonts w:hAnsi="標楷體"/>
                <w:snapToGrid/>
              </w:rPr>
            </w:pPr>
            <w:r w:rsidRPr="009779DA">
              <w:rPr>
                <w:rFonts w:hAnsi="標楷體"/>
                <w:snapToGrid/>
              </w:rPr>
              <w:t>年度</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稅前淨利(損)</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資本適足率</w:t>
            </w:r>
          </w:p>
        </w:tc>
        <w:tc>
          <w:tcPr>
            <w:tcW w:w="1872"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資本餘額</w:t>
            </w:r>
          </w:p>
        </w:tc>
        <w:tc>
          <w:tcPr>
            <w:tcW w:w="1873" w:type="dxa"/>
            <w:shd w:val="clear" w:color="auto" w:fill="auto"/>
            <w:vAlign w:val="center"/>
          </w:tcPr>
          <w:p w:rsidR="009779DA" w:rsidRPr="009779DA" w:rsidRDefault="009779DA" w:rsidP="00E37A00">
            <w:pPr>
              <w:pStyle w:val="14-2"/>
              <w:jc w:val="center"/>
              <w:rPr>
                <w:rFonts w:hAnsi="標楷體"/>
                <w:snapToGrid/>
                <w:szCs w:val="24"/>
              </w:rPr>
            </w:pPr>
            <w:r w:rsidRPr="009779DA">
              <w:rPr>
                <w:rFonts w:hAnsi="標楷體"/>
                <w:snapToGrid/>
                <w:szCs w:val="24"/>
              </w:rPr>
              <w:t>政府現金增資</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-14.06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147.66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50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252.54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70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20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99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0.63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292.03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40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266.20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0.18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217.41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110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-4.11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218.27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170</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60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-8.41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284.43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170</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-25.29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232.91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55</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-32.44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189.33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-39.87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154.15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107</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-18.36</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258.45</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100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-25.53</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222.71</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109</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-39.22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176.42</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325</w:t>
            </w:r>
          </w:p>
        </w:tc>
        <w:tc>
          <w:tcPr>
            <w:tcW w:w="1873" w:type="dxa"/>
            <w:shd w:val="clear" w:color="auto" w:fill="auto"/>
            <w:vAlign w:val="center"/>
          </w:tcPr>
          <w:p w:rsidR="009779DA" w:rsidRPr="00547DE0" w:rsidRDefault="00336C59" w:rsidP="00E37A00">
            <w:pPr>
              <w:pStyle w:val="142"/>
              <w:jc w:val="right"/>
              <w:rPr>
                <w:rFonts w:hAnsi="標楷體"/>
                <w:snapToGrid/>
              </w:rPr>
            </w:pPr>
            <w:r>
              <w:rPr>
                <w:rFonts w:hAnsi="標楷體" w:hint="eastAsia"/>
                <w:snapToGrid/>
              </w:rPr>
              <w:t>-</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110</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-7.04</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287.58</w:t>
            </w:r>
          </w:p>
        </w:tc>
        <w:tc>
          <w:tcPr>
            <w:tcW w:w="1872" w:type="dxa"/>
            <w:shd w:val="clear" w:color="auto" w:fill="auto"/>
            <w:vAlign w:val="center"/>
          </w:tcPr>
          <w:p w:rsidR="009779DA" w:rsidRPr="00547DE0" w:rsidRDefault="009779DA" w:rsidP="00E37A00">
            <w:pPr>
              <w:pStyle w:val="142"/>
              <w:jc w:val="right"/>
              <w:rPr>
                <w:rFonts w:hAnsi="標楷體"/>
                <w:snapToGrid/>
              </w:rPr>
            </w:pPr>
            <w:r w:rsidRPr="00547DE0">
              <w:rPr>
                <w:rFonts w:hAnsi="標楷體"/>
                <w:snapToGrid/>
              </w:rPr>
              <w:t>435</w:t>
            </w:r>
          </w:p>
        </w:tc>
        <w:tc>
          <w:tcPr>
            <w:tcW w:w="1873" w:type="dxa"/>
            <w:shd w:val="clear" w:color="auto" w:fill="auto"/>
            <w:vAlign w:val="center"/>
          </w:tcPr>
          <w:p w:rsidR="009779DA" w:rsidRPr="00547DE0" w:rsidRDefault="009779DA" w:rsidP="00E37A00">
            <w:pPr>
              <w:pStyle w:val="142"/>
              <w:jc w:val="right"/>
              <w:rPr>
                <w:rFonts w:hAnsi="標楷體"/>
                <w:b/>
                <w:snapToGrid/>
              </w:rPr>
            </w:pPr>
            <w:r w:rsidRPr="00547DE0">
              <w:rPr>
                <w:rFonts w:hAnsi="標楷體"/>
                <w:b/>
                <w:snapToGrid/>
              </w:rPr>
              <w:t>110</w:t>
            </w:r>
          </w:p>
        </w:tc>
      </w:tr>
      <w:tr w:rsidR="009779DA" w:rsidRPr="00547DE0"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111</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7.36</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281.76</w:t>
            </w:r>
          </w:p>
        </w:tc>
        <w:tc>
          <w:tcPr>
            <w:tcW w:w="1872" w:type="dxa"/>
            <w:shd w:val="clear" w:color="auto" w:fill="auto"/>
          </w:tcPr>
          <w:p w:rsidR="009779DA" w:rsidRPr="00547DE0" w:rsidRDefault="009779DA" w:rsidP="00E37A00">
            <w:pPr>
              <w:pStyle w:val="142"/>
              <w:jc w:val="right"/>
              <w:rPr>
                <w:rFonts w:hAnsi="標楷體"/>
                <w:snapToGrid/>
              </w:rPr>
            </w:pPr>
            <w:r w:rsidRPr="00547DE0">
              <w:rPr>
                <w:rFonts w:hAnsi="標楷體"/>
                <w:snapToGrid/>
              </w:rPr>
              <w:t>435</w:t>
            </w:r>
          </w:p>
        </w:tc>
        <w:tc>
          <w:tcPr>
            <w:tcW w:w="1873" w:type="dxa"/>
            <w:shd w:val="clear" w:color="auto" w:fill="auto"/>
          </w:tcPr>
          <w:p w:rsidR="009779DA" w:rsidRPr="00547DE0" w:rsidRDefault="00336C59" w:rsidP="00E37A00">
            <w:pPr>
              <w:pStyle w:val="142"/>
              <w:jc w:val="right"/>
              <w:rPr>
                <w:rFonts w:hAnsi="標楷體"/>
                <w:snapToGrid/>
              </w:rPr>
            </w:pPr>
            <w:r>
              <w:rPr>
                <w:rFonts w:hAnsi="標楷體" w:hint="eastAsia"/>
                <w:snapToGrid/>
              </w:rPr>
              <w:t>-</w:t>
            </w:r>
          </w:p>
        </w:tc>
      </w:tr>
      <w:tr w:rsidR="009779DA" w:rsidRPr="0040630C"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sidRPr="00547DE0">
              <w:rPr>
                <w:rFonts w:hAnsi="標楷體"/>
                <w:snapToGrid/>
              </w:rPr>
              <w:t>112</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-9.88</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297.69</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snapToGrid/>
              </w:rPr>
              <w:t>495</w:t>
            </w:r>
          </w:p>
        </w:tc>
        <w:tc>
          <w:tcPr>
            <w:tcW w:w="1873" w:type="dxa"/>
            <w:shd w:val="clear" w:color="auto" w:fill="auto"/>
          </w:tcPr>
          <w:p w:rsidR="009779DA" w:rsidRPr="009779DA" w:rsidRDefault="009779DA" w:rsidP="00E37A00">
            <w:pPr>
              <w:pStyle w:val="142"/>
              <w:jc w:val="right"/>
              <w:rPr>
                <w:rFonts w:hAnsi="標楷體"/>
                <w:b/>
                <w:snapToGrid/>
              </w:rPr>
            </w:pPr>
            <w:r w:rsidRPr="009779DA">
              <w:rPr>
                <w:rFonts w:hAnsi="標楷體"/>
                <w:b/>
                <w:snapToGrid/>
              </w:rPr>
              <w:t>60</w:t>
            </w:r>
          </w:p>
        </w:tc>
      </w:tr>
      <w:tr w:rsidR="009779DA" w:rsidRPr="0040630C" w:rsidTr="009779DA">
        <w:trPr>
          <w:trHeight w:val="170"/>
        </w:trPr>
        <w:tc>
          <w:tcPr>
            <w:tcW w:w="1092" w:type="dxa"/>
            <w:shd w:val="clear" w:color="auto" w:fill="auto"/>
            <w:vAlign w:val="center"/>
          </w:tcPr>
          <w:p w:rsidR="009779DA" w:rsidRPr="00547DE0" w:rsidRDefault="009779DA" w:rsidP="00E37A00">
            <w:pPr>
              <w:pStyle w:val="142"/>
              <w:jc w:val="center"/>
              <w:rPr>
                <w:rFonts w:hAnsi="標楷體"/>
                <w:snapToGrid/>
              </w:rPr>
            </w:pPr>
            <w:r>
              <w:rPr>
                <w:rFonts w:hAnsi="標楷體" w:hint="eastAsia"/>
                <w:snapToGrid/>
              </w:rPr>
              <w:t>1</w:t>
            </w:r>
            <w:r>
              <w:rPr>
                <w:rFonts w:hAnsi="標楷體"/>
                <w:snapToGrid/>
              </w:rPr>
              <w:t>13</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7</w:t>
            </w:r>
            <w:r w:rsidRPr="009779DA">
              <w:rPr>
                <w:rFonts w:hAnsi="標楷體"/>
                <w:snapToGrid/>
              </w:rPr>
              <w:t>.68</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3</w:t>
            </w:r>
            <w:r w:rsidRPr="009779DA">
              <w:rPr>
                <w:rFonts w:hAnsi="標楷體"/>
                <w:snapToGrid/>
              </w:rPr>
              <w:t>55.56</w:t>
            </w:r>
          </w:p>
        </w:tc>
        <w:tc>
          <w:tcPr>
            <w:tcW w:w="1872" w:type="dxa"/>
            <w:shd w:val="clear" w:color="auto" w:fill="auto"/>
          </w:tcPr>
          <w:p w:rsidR="009779DA" w:rsidRPr="009779DA" w:rsidRDefault="009779DA" w:rsidP="00E37A00">
            <w:pPr>
              <w:pStyle w:val="142"/>
              <w:jc w:val="right"/>
              <w:rPr>
                <w:rFonts w:hAnsi="標楷體"/>
                <w:snapToGrid/>
              </w:rPr>
            </w:pPr>
            <w:r w:rsidRPr="009779DA">
              <w:rPr>
                <w:rFonts w:hAnsi="標楷體" w:hint="eastAsia"/>
                <w:snapToGrid/>
              </w:rPr>
              <w:t>495</w:t>
            </w:r>
          </w:p>
        </w:tc>
        <w:tc>
          <w:tcPr>
            <w:tcW w:w="1873" w:type="dxa"/>
            <w:shd w:val="clear" w:color="auto" w:fill="auto"/>
          </w:tcPr>
          <w:p w:rsidR="009779DA" w:rsidRPr="00336C59" w:rsidRDefault="00336C59" w:rsidP="00E37A00">
            <w:pPr>
              <w:pStyle w:val="142"/>
              <w:jc w:val="right"/>
              <w:rPr>
                <w:rFonts w:hAnsi="標楷體"/>
                <w:snapToGrid/>
              </w:rPr>
            </w:pPr>
            <w:r>
              <w:rPr>
                <w:rFonts w:hAnsi="標楷體" w:hint="eastAsia"/>
                <w:snapToGrid/>
              </w:rPr>
              <w:t>-</w:t>
            </w:r>
          </w:p>
        </w:tc>
      </w:tr>
    </w:tbl>
    <w:p w:rsidR="009779DA" w:rsidRPr="00320125" w:rsidRDefault="009779DA" w:rsidP="009779DA">
      <w:pPr>
        <w:pStyle w:val="142"/>
        <w:ind w:left="788" w:hangingChars="324" w:hanging="788"/>
        <w:rPr>
          <w:rFonts w:ascii="Times New Roman"/>
        </w:rPr>
      </w:pPr>
      <w:r w:rsidRPr="00320125">
        <w:rPr>
          <w:rFonts w:ascii="Times New Roman"/>
        </w:rPr>
        <w:t>資料來源：臺銀人壽提供。</w:t>
      </w:r>
    </w:p>
    <w:p w:rsidR="008B7225" w:rsidRDefault="00221859" w:rsidP="0062656A">
      <w:pPr>
        <w:ind w:left="566" w:firstLine="566"/>
      </w:pPr>
      <w:r w:rsidRPr="00773DA4">
        <w:rPr>
          <w:rFonts w:hint="eastAsia"/>
        </w:rPr>
        <w:t>綜上，臺銀人壽</w:t>
      </w:r>
      <w:r w:rsidR="00336C59" w:rsidRPr="00773DA4">
        <w:t>1</w:t>
      </w:r>
      <w:r w:rsidR="00336C59">
        <w:t>13</w:t>
      </w:r>
      <w:r w:rsidR="00336C59" w:rsidRPr="00336C59">
        <w:t>年度雖轉虧</w:t>
      </w:r>
      <w:r w:rsidR="00336C59">
        <w:rPr>
          <w:rFonts w:hint="eastAsia"/>
        </w:rPr>
        <w:t>為盈，</w:t>
      </w:r>
      <w:r w:rsidR="00773DA4" w:rsidRPr="00336C59">
        <w:t>然受限於結構性</w:t>
      </w:r>
      <w:r w:rsidR="0009687A">
        <w:rPr>
          <w:rFonts w:hint="eastAsia"/>
        </w:rPr>
        <w:t>「</w:t>
      </w:r>
      <w:r w:rsidR="00773DA4" w:rsidRPr="00336C59">
        <w:t>利差損</w:t>
      </w:r>
      <w:r w:rsidR="0009687A">
        <w:rPr>
          <w:rFonts w:hint="eastAsia"/>
        </w:rPr>
        <w:t>」</w:t>
      </w:r>
      <w:r w:rsidR="00773DA4">
        <w:rPr>
          <w:rFonts w:hint="eastAsia"/>
        </w:rPr>
        <w:t>，</w:t>
      </w:r>
      <w:r w:rsidR="00571FA7">
        <w:rPr>
          <w:rFonts w:hint="eastAsia"/>
        </w:rPr>
        <w:t>其</w:t>
      </w:r>
      <w:r w:rsidR="00800963" w:rsidRPr="00800963">
        <w:rPr>
          <w:rFonts w:hint="eastAsia"/>
        </w:rPr>
        <w:t>資本適足率多次仰賴政府增資始達法定標準</w:t>
      </w:r>
      <w:r w:rsidR="00800963">
        <w:rPr>
          <w:rFonts w:hint="eastAsia"/>
        </w:rPr>
        <w:t>。</w:t>
      </w:r>
      <w:r w:rsidR="00D70163">
        <w:rPr>
          <w:rFonts w:hint="eastAsia"/>
        </w:rPr>
        <w:t>又</w:t>
      </w:r>
      <w:r w:rsidR="00571FA7">
        <w:rPr>
          <w:rFonts w:hint="eastAsia"/>
        </w:rPr>
        <w:t>鑑</w:t>
      </w:r>
      <w:r w:rsidR="00E1113D" w:rsidRPr="00E1113D">
        <w:rPr>
          <w:rFonts w:hint="eastAsia"/>
        </w:rPr>
        <w:t>於115年度</w:t>
      </w:r>
      <w:r w:rsidR="00E1113D">
        <w:rPr>
          <w:rFonts w:hint="eastAsia"/>
        </w:rPr>
        <w:t>IF</w:t>
      </w:r>
      <w:r w:rsidR="00E1113D">
        <w:t>RS 17</w:t>
      </w:r>
      <w:r w:rsidR="00E1113D">
        <w:rPr>
          <w:rFonts w:hint="eastAsia"/>
        </w:rPr>
        <w:t>實施，</w:t>
      </w:r>
      <w:r w:rsidR="00773DA4">
        <w:t>資產</w:t>
      </w:r>
      <w:r w:rsidR="00D70163">
        <w:rPr>
          <w:rFonts w:hint="eastAsia"/>
        </w:rPr>
        <w:t>與</w:t>
      </w:r>
      <w:r w:rsidR="00773DA4">
        <w:t>負債評價基準</w:t>
      </w:r>
      <w:r w:rsidR="00E1113D">
        <w:t>之變更將進一步加</w:t>
      </w:r>
      <w:r w:rsidR="00571FA7">
        <w:rPr>
          <w:rFonts w:hint="eastAsia"/>
        </w:rPr>
        <w:t>重</w:t>
      </w:r>
      <w:r w:rsidR="00E1113D">
        <w:t>資本壓力</w:t>
      </w:r>
      <w:r w:rsidR="0009687A">
        <w:rPr>
          <w:rFonts w:hint="eastAsia"/>
        </w:rPr>
        <w:t>，</w:t>
      </w:r>
      <w:r w:rsidR="00773DA4" w:rsidRPr="00336C59">
        <w:t>該公司</w:t>
      </w:r>
      <w:r w:rsidR="00773DA4">
        <w:rPr>
          <w:rFonts w:hint="eastAsia"/>
        </w:rPr>
        <w:t>允宜</w:t>
      </w:r>
      <w:r w:rsidR="00773DA4">
        <w:t>加速商品策略轉型，提升</w:t>
      </w:r>
      <w:r w:rsidR="00773DA4">
        <w:rPr>
          <w:rFonts w:hint="eastAsia"/>
        </w:rPr>
        <w:t>獲利能力</w:t>
      </w:r>
      <w:r w:rsidR="00773DA4" w:rsidRPr="00336C59">
        <w:t>，並妥為規劃自有資本配置，俾健全財務結構。</w:t>
      </w:r>
    </w:p>
    <w:bookmarkEnd w:id="2"/>
    <w:sectPr w:rsidR="008B7225"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D54" w:rsidRDefault="00714D54" w:rsidP="00B50BB8">
      <w:pPr>
        <w:spacing w:line="240" w:lineRule="auto"/>
        <w:ind w:left="560" w:firstLine="560"/>
      </w:pPr>
      <w:r>
        <w:separator/>
      </w:r>
    </w:p>
  </w:endnote>
  <w:endnote w:type="continuationSeparator" w:id="0">
    <w:p w:rsidR="00714D54" w:rsidRDefault="00714D54"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6B1D36">
    <w:pPr>
      <w:pStyle w:val="af1"/>
      <w:ind w:leftChars="3" w:left="558" w:hangingChars="275" w:hanging="550"/>
      <w:jc w:val="center"/>
    </w:pPr>
    <w:r>
      <w:fldChar w:fldCharType="begin"/>
    </w:r>
    <w:r>
      <w:instrText>PAGE   \* MERGEFORMAT</w:instrText>
    </w:r>
    <w:r>
      <w:fldChar w:fldCharType="separate"/>
    </w:r>
    <w:r w:rsidR="00640CDA" w:rsidRPr="00640CDA">
      <w:rPr>
        <w:noProof/>
        <w:lang w:val="zh-TW"/>
      </w:rPr>
      <w:t>3</w:t>
    </w:r>
    <w:r>
      <w:fldChar w:fldCharType="end"/>
    </w:r>
  </w:p>
  <w:p w:rsidR="0009687A" w:rsidRDefault="0009687A" w:rsidP="000421DE">
    <w:pPr>
      <w:pStyle w:val="af1"/>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D54" w:rsidRDefault="00714D54" w:rsidP="002332A8">
      <w:pPr>
        <w:spacing w:line="240" w:lineRule="auto"/>
        <w:ind w:left="560" w:firstLine="560"/>
      </w:pPr>
      <w:r>
        <w:separator/>
      </w:r>
    </w:p>
  </w:footnote>
  <w:footnote w:type="continuationSeparator" w:id="0">
    <w:p w:rsidR="00714D54" w:rsidRDefault="00714D54" w:rsidP="00B50BB8">
      <w:pPr>
        <w:spacing w:line="240" w:lineRule="auto"/>
        <w:ind w:left="560" w:firstLine="560"/>
      </w:pPr>
      <w:r>
        <w:continuationSeparator/>
      </w:r>
    </w:p>
  </w:footnote>
  <w:footnote w:id="1">
    <w:p w:rsidR="0009687A" w:rsidRPr="00221859" w:rsidRDefault="0009687A">
      <w:pPr>
        <w:pStyle w:val="af3"/>
        <w:ind w:left="73" w:hanging="73"/>
      </w:pPr>
      <w:r>
        <w:rPr>
          <w:rStyle w:val="af5"/>
        </w:rPr>
        <w:footnoteRef/>
      </w:r>
      <w:r w:rsidRPr="0009687A">
        <w:rPr>
          <w:rFonts w:hint="eastAsia"/>
          <w:spacing w:val="-4"/>
        </w:rPr>
        <w:t>保險業淨值比率係指保險業經會計師查核簽證財務報告之業主權益除以不含投資型保險專設帳簿之資產總額，此比率能評量公司在國際政經情勢發生大幅波動時，對於該等市場風險承擔之能力。資料來源：金融監督管理委員會「金融小百科」網頁，</w:t>
      </w:r>
      <w:hyperlink r:id="rId1" w:history="1">
        <w:r w:rsidRPr="003E38A5">
          <w:rPr>
            <w:rStyle w:val="af7"/>
            <w:rFonts w:hint="eastAsia"/>
          </w:rPr>
          <w:t>https://www.fsc.gov.tw/ch/home.jsp?id=132&amp;parentpath=0,2&amp;mcustomize=cyclopedia_view.jsp&amp;dataserno=202104140013</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87A" w:rsidRDefault="0009687A"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1BF6"/>
    <w:rsid w:val="000421DE"/>
    <w:rsid w:val="00043F99"/>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687A"/>
    <w:rsid w:val="000975FF"/>
    <w:rsid w:val="000A21BE"/>
    <w:rsid w:val="000A3713"/>
    <w:rsid w:val="000A3F28"/>
    <w:rsid w:val="000A477D"/>
    <w:rsid w:val="000A5795"/>
    <w:rsid w:val="000B0CD6"/>
    <w:rsid w:val="000B1F17"/>
    <w:rsid w:val="000B4E73"/>
    <w:rsid w:val="000C0D73"/>
    <w:rsid w:val="000C29E7"/>
    <w:rsid w:val="000D1801"/>
    <w:rsid w:val="000D1868"/>
    <w:rsid w:val="000D2997"/>
    <w:rsid w:val="000D38F5"/>
    <w:rsid w:val="000D3E27"/>
    <w:rsid w:val="000D50A5"/>
    <w:rsid w:val="000D59E8"/>
    <w:rsid w:val="000D7D13"/>
    <w:rsid w:val="000E033E"/>
    <w:rsid w:val="000E1538"/>
    <w:rsid w:val="000E416D"/>
    <w:rsid w:val="000E5B35"/>
    <w:rsid w:val="000E6971"/>
    <w:rsid w:val="000E6C7B"/>
    <w:rsid w:val="000F016A"/>
    <w:rsid w:val="000F051B"/>
    <w:rsid w:val="000F2213"/>
    <w:rsid w:val="000F4241"/>
    <w:rsid w:val="000F57E2"/>
    <w:rsid w:val="000F5E9E"/>
    <w:rsid w:val="000F63F8"/>
    <w:rsid w:val="000F69B2"/>
    <w:rsid w:val="00100CFE"/>
    <w:rsid w:val="00101B28"/>
    <w:rsid w:val="00103AB0"/>
    <w:rsid w:val="0010672B"/>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0D14"/>
    <w:rsid w:val="00155205"/>
    <w:rsid w:val="00155544"/>
    <w:rsid w:val="00156845"/>
    <w:rsid w:val="0016227A"/>
    <w:rsid w:val="00167BDF"/>
    <w:rsid w:val="00167F98"/>
    <w:rsid w:val="0017000C"/>
    <w:rsid w:val="001742E8"/>
    <w:rsid w:val="00176EC4"/>
    <w:rsid w:val="00183930"/>
    <w:rsid w:val="00184B7A"/>
    <w:rsid w:val="00185C4B"/>
    <w:rsid w:val="001860D4"/>
    <w:rsid w:val="00186A99"/>
    <w:rsid w:val="00187A03"/>
    <w:rsid w:val="0019025D"/>
    <w:rsid w:val="00190F5C"/>
    <w:rsid w:val="00193266"/>
    <w:rsid w:val="00194682"/>
    <w:rsid w:val="0019549F"/>
    <w:rsid w:val="00197E62"/>
    <w:rsid w:val="001A1C43"/>
    <w:rsid w:val="001A1F33"/>
    <w:rsid w:val="001A3C55"/>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6C"/>
    <w:rsid w:val="00216A88"/>
    <w:rsid w:val="00216C6C"/>
    <w:rsid w:val="00221279"/>
    <w:rsid w:val="00221352"/>
    <w:rsid w:val="00221859"/>
    <w:rsid w:val="00221AA8"/>
    <w:rsid w:val="00221FF7"/>
    <w:rsid w:val="00223F9E"/>
    <w:rsid w:val="0022485D"/>
    <w:rsid w:val="00224CA2"/>
    <w:rsid w:val="00225BCE"/>
    <w:rsid w:val="002323C9"/>
    <w:rsid w:val="002332A8"/>
    <w:rsid w:val="002338DA"/>
    <w:rsid w:val="002348DC"/>
    <w:rsid w:val="002351AE"/>
    <w:rsid w:val="00235632"/>
    <w:rsid w:val="00236CE6"/>
    <w:rsid w:val="002402D7"/>
    <w:rsid w:val="00244FB1"/>
    <w:rsid w:val="00245F58"/>
    <w:rsid w:val="00251CE2"/>
    <w:rsid w:val="002530E0"/>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2AF7"/>
    <w:rsid w:val="002E3718"/>
    <w:rsid w:val="002E4926"/>
    <w:rsid w:val="002E5854"/>
    <w:rsid w:val="002E6471"/>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A72"/>
    <w:rsid w:val="00320B05"/>
    <w:rsid w:val="00322FD3"/>
    <w:rsid w:val="0032342A"/>
    <w:rsid w:val="0032454E"/>
    <w:rsid w:val="00324E2E"/>
    <w:rsid w:val="0032536D"/>
    <w:rsid w:val="003275E7"/>
    <w:rsid w:val="00330E92"/>
    <w:rsid w:val="00334F32"/>
    <w:rsid w:val="00335D10"/>
    <w:rsid w:val="00336C59"/>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4699"/>
    <w:rsid w:val="003A67EC"/>
    <w:rsid w:val="003A6CDD"/>
    <w:rsid w:val="003A6FFC"/>
    <w:rsid w:val="003B24FA"/>
    <w:rsid w:val="003B589A"/>
    <w:rsid w:val="003B5C7A"/>
    <w:rsid w:val="003B5FF2"/>
    <w:rsid w:val="003B6040"/>
    <w:rsid w:val="003C0B4D"/>
    <w:rsid w:val="003C1A5E"/>
    <w:rsid w:val="003C1CCB"/>
    <w:rsid w:val="003C1EFC"/>
    <w:rsid w:val="003C6B69"/>
    <w:rsid w:val="003C7961"/>
    <w:rsid w:val="003E0E8B"/>
    <w:rsid w:val="003E153F"/>
    <w:rsid w:val="003E19F4"/>
    <w:rsid w:val="003E2C39"/>
    <w:rsid w:val="003E46A8"/>
    <w:rsid w:val="003F07CD"/>
    <w:rsid w:val="003F1329"/>
    <w:rsid w:val="003F25A6"/>
    <w:rsid w:val="003F33FF"/>
    <w:rsid w:val="00400526"/>
    <w:rsid w:val="004006D3"/>
    <w:rsid w:val="0040226F"/>
    <w:rsid w:val="00402B59"/>
    <w:rsid w:val="00404881"/>
    <w:rsid w:val="00405615"/>
    <w:rsid w:val="0040630C"/>
    <w:rsid w:val="00407CE6"/>
    <w:rsid w:val="004119BB"/>
    <w:rsid w:val="004125CE"/>
    <w:rsid w:val="00413A0D"/>
    <w:rsid w:val="004143CE"/>
    <w:rsid w:val="00414F81"/>
    <w:rsid w:val="004216B0"/>
    <w:rsid w:val="00421CE3"/>
    <w:rsid w:val="00423A6A"/>
    <w:rsid w:val="00425999"/>
    <w:rsid w:val="004259D9"/>
    <w:rsid w:val="00426674"/>
    <w:rsid w:val="00426C80"/>
    <w:rsid w:val="0043430B"/>
    <w:rsid w:val="00434360"/>
    <w:rsid w:val="00434AB6"/>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A2D"/>
    <w:rsid w:val="00457BA8"/>
    <w:rsid w:val="00463E25"/>
    <w:rsid w:val="0046467D"/>
    <w:rsid w:val="00464982"/>
    <w:rsid w:val="0046612C"/>
    <w:rsid w:val="00466B7E"/>
    <w:rsid w:val="004743D7"/>
    <w:rsid w:val="00474B24"/>
    <w:rsid w:val="00474C99"/>
    <w:rsid w:val="00480B2D"/>
    <w:rsid w:val="00480E19"/>
    <w:rsid w:val="004810FF"/>
    <w:rsid w:val="004830C6"/>
    <w:rsid w:val="004832A1"/>
    <w:rsid w:val="004850E0"/>
    <w:rsid w:val="004860DC"/>
    <w:rsid w:val="00486465"/>
    <w:rsid w:val="00486644"/>
    <w:rsid w:val="0048709A"/>
    <w:rsid w:val="0049107D"/>
    <w:rsid w:val="0049504F"/>
    <w:rsid w:val="0049532E"/>
    <w:rsid w:val="004955AD"/>
    <w:rsid w:val="004956E9"/>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E7316"/>
    <w:rsid w:val="004F0577"/>
    <w:rsid w:val="004F1823"/>
    <w:rsid w:val="004F35B6"/>
    <w:rsid w:val="004F386A"/>
    <w:rsid w:val="004F78B9"/>
    <w:rsid w:val="005003D5"/>
    <w:rsid w:val="00501642"/>
    <w:rsid w:val="00501945"/>
    <w:rsid w:val="00502617"/>
    <w:rsid w:val="00504AA9"/>
    <w:rsid w:val="0051126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1FA7"/>
    <w:rsid w:val="005726CC"/>
    <w:rsid w:val="00573A8A"/>
    <w:rsid w:val="00574707"/>
    <w:rsid w:val="00574836"/>
    <w:rsid w:val="005767BA"/>
    <w:rsid w:val="00576B47"/>
    <w:rsid w:val="00580A24"/>
    <w:rsid w:val="00581633"/>
    <w:rsid w:val="00581AD6"/>
    <w:rsid w:val="00582F41"/>
    <w:rsid w:val="00583DCF"/>
    <w:rsid w:val="005846A8"/>
    <w:rsid w:val="00585FCD"/>
    <w:rsid w:val="00586539"/>
    <w:rsid w:val="00590B95"/>
    <w:rsid w:val="00592399"/>
    <w:rsid w:val="00592C81"/>
    <w:rsid w:val="00593458"/>
    <w:rsid w:val="005957CD"/>
    <w:rsid w:val="00597BE4"/>
    <w:rsid w:val="005A3E2D"/>
    <w:rsid w:val="005A5964"/>
    <w:rsid w:val="005A5E96"/>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623"/>
    <w:rsid w:val="005E07AB"/>
    <w:rsid w:val="005E431D"/>
    <w:rsid w:val="005E6399"/>
    <w:rsid w:val="005E7EA7"/>
    <w:rsid w:val="005F29D3"/>
    <w:rsid w:val="005F3EE1"/>
    <w:rsid w:val="005F4111"/>
    <w:rsid w:val="005F6950"/>
    <w:rsid w:val="005F7489"/>
    <w:rsid w:val="00602123"/>
    <w:rsid w:val="00602793"/>
    <w:rsid w:val="00602B5F"/>
    <w:rsid w:val="006060E3"/>
    <w:rsid w:val="0060646C"/>
    <w:rsid w:val="006072D9"/>
    <w:rsid w:val="0061171D"/>
    <w:rsid w:val="006131A3"/>
    <w:rsid w:val="0061406D"/>
    <w:rsid w:val="0061590A"/>
    <w:rsid w:val="0061790A"/>
    <w:rsid w:val="00625E4E"/>
    <w:rsid w:val="0062656A"/>
    <w:rsid w:val="00631D80"/>
    <w:rsid w:val="006330EB"/>
    <w:rsid w:val="006403FC"/>
    <w:rsid w:val="00640CDA"/>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975D6"/>
    <w:rsid w:val="006A5C23"/>
    <w:rsid w:val="006A73C4"/>
    <w:rsid w:val="006B0E20"/>
    <w:rsid w:val="006B1D36"/>
    <w:rsid w:val="006B2DC0"/>
    <w:rsid w:val="006B3C3D"/>
    <w:rsid w:val="006B4E6E"/>
    <w:rsid w:val="006B52B8"/>
    <w:rsid w:val="006B640F"/>
    <w:rsid w:val="006C0AD8"/>
    <w:rsid w:val="006C1685"/>
    <w:rsid w:val="006C1CBE"/>
    <w:rsid w:val="006C33A4"/>
    <w:rsid w:val="006D2071"/>
    <w:rsid w:val="006D2613"/>
    <w:rsid w:val="006D3F59"/>
    <w:rsid w:val="006D4168"/>
    <w:rsid w:val="006D4D10"/>
    <w:rsid w:val="006D70DE"/>
    <w:rsid w:val="006E224A"/>
    <w:rsid w:val="006E2D13"/>
    <w:rsid w:val="006E68C6"/>
    <w:rsid w:val="006E6F12"/>
    <w:rsid w:val="006F21BE"/>
    <w:rsid w:val="006F32A0"/>
    <w:rsid w:val="006F3648"/>
    <w:rsid w:val="006F40C3"/>
    <w:rsid w:val="006F4D39"/>
    <w:rsid w:val="006F7265"/>
    <w:rsid w:val="006F75F3"/>
    <w:rsid w:val="006F7DDE"/>
    <w:rsid w:val="00700A1D"/>
    <w:rsid w:val="00701367"/>
    <w:rsid w:val="007015A1"/>
    <w:rsid w:val="0070192C"/>
    <w:rsid w:val="00707D14"/>
    <w:rsid w:val="00707DFD"/>
    <w:rsid w:val="00710E45"/>
    <w:rsid w:val="00713682"/>
    <w:rsid w:val="007138CC"/>
    <w:rsid w:val="00714D54"/>
    <w:rsid w:val="0071615B"/>
    <w:rsid w:val="00716D5F"/>
    <w:rsid w:val="00717743"/>
    <w:rsid w:val="00720AFA"/>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6A85"/>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3DA4"/>
    <w:rsid w:val="0077636D"/>
    <w:rsid w:val="0077679F"/>
    <w:rsid w:val="00776855"/>
    <w:rsid w:val="00776AFA"/>
    <w:rsid w:val="00776C39"/>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1280"/>
    <w:rsid w:val="007D20D1"/>
    <w:rsid w:val="007D225E"/>
    <w:rsid w:val="007D235D"/>
    <w:rsid w:val="007D2628"/>
    <w:rsid w:val="007D3D14"/>
    <w:rsid w:val="007D68DB"/>
    <w:rsid w:val="007D7C41"/>
    <w:rsid w:val="007F05F2"/>
    <w:rsid w:val="007F1A01"/>
    <w:rsid w:val="007F22CC"/>
    <w:rsid w:val="007F251C"/>
    <w:rsid w:val="007F255F"/>
    <w:rsid w:val="007F6CAD"/>
    <w:rsid w:val="00800963"/>
    <w:rsid w:val="00803E17"/>
    <w:rsid w:val="00805D79"/>
    <w:rsid w:val="008131F7"/>
    <w:rsid w:val="008177DE"/>
    <w:rsid w:val="0082005F"/>
    <w:rsid w:val="00822CD8"/>
    <w:rsid w:val="00824789"/>
    <w:rsid w:val="00827B19"/>
    <w:rsid w:val="00832628"/>
    <w:rsid w:val="0083710E"/>
    <w:rsid w:val="00837F37"/>
    <w:rsid w:val="0084106A"/>
    <w:rsid w:val="008423DD"/>
    <w:rsid w:val="008507BE"/>
    <w:rsid w:val="008526F3"/>
    <w:rsid w:val="008531AE"/>
    <w:rsid w:val="0085414C"/>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871B5"/>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467A"/>
    <w:rsid w:val="008B680D"/>
    <w:rsid w:val="008B6AA4"/>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2D1F"/>
    <w:rsid w:val="00974619"/>
    <w:rsid w:val="00974F0F"/>
    <w:rsid w:val="0097695C"/>
    <w:rsid w:val="009769C4"/>
    <w:rsid w:val="009778B1"/>
    <w:rsid w:val="009779DA"/>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3FCD"/>
    <w:rsid w:val="00A8557A"/>
    <w:rsid w:val="00A85BB3"/>
    <w:rsid w:val="00A87B1E"/>
    <w:rsid w:val="00A908DE"/>
    <w:rsid w:val="00A960B8"/>
    <w:rsid w:val="00A976A4"/>
    <w:rsid w:val="00AA3CAF"/>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32"/>
    <w:rsid w:val="00AC7B4F"/>
    <w:rsid w:val="00AD1AC7"/>
    <w:rsid w:val="00AD1E8F"/>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3FF7"/>
    <w:rsid w:val="00B250AB"/>
    <w:rsid w:val="00B25274"/>
    <w:rsid w:val="00B27AE6"/>
    <w:rsid w:val="00B3167D"/>
    <w:rsid w:val="00B32CEF"/>
    <w:rsid w:val="00B337B4"/>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5C5C"/>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D70B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0749"/>
    <w:rsid w:val="00C91A7D"/>
    <w:rsid w:val="00C92347"/>
    <w:rsid w:val="00C95CAF"/>
    <w:rsid w:val="00CA040C"/>
    <w:rsid w:val="00CA3288"/>
    <w:rsid w:val="00CA585B"/>
    <w:rsid w:val="00CA6193"/>
    <w:rsid w:val="00CA7F04"/>
    <w:rsid w:val="00CB2908"/>
    <w:rsid w:val="00CB2C8C"/>
    <w:rsid w:val="00CB468C"/>
    <w:rsid w:val="00CB6C3F"/>
    <w:rsid w:val="00CC1A58"/>
    <w:rsid w:val="00CC1D1B"/>
    <w:rsid w:val="00CC2BB9"/>
    <w:rsid w:val="00CC38C9"/>
    <w:rsid w:val="00CC404D"/>
    <w:rsid w:val="00CC443D"/>
    <w:rsid w:val="00CC4E33"/>
    <w:rsid w:val="00CC50C6"/>
    <w:rsid w:val="00CC5A82"/>
    <w:rsid w:val="00CC5E34"/>
    <w:rsid w:val="00CD14F5"/>
    <w:rsid w:val="00CD1CF5"/>
    <w:rsid w:val="00CD1FC3"/>
    <w:rsid w:val="00CD255E"/>
    <w:rsid w:val="00CD2786"/>
    <w:rsid w:val="00CE2072"/>
    <w:rsid w:val="00CE3D63"/>
    <w:rsid w:val="00CF0FCB"/>
    <w:rsid w:val="00CF0FDF"/>
    <w:rsid w:val="00CF1E5B"/>
    <w:rsid w:val="00CF1E86"/>
    <w:rsid w:val="00CF3C81"/>
    <w:rsid w:val="00CF44EE"/>
    <w:rsid w:val="00CF60AE"/>
    <w:rsid w:val="00CF6159"/>
    <w:rsid w:val="00CF6571"/>
    <w:rsid w:val="00CF708B"/>
    <w:rsid w:val="00CF72FC"/>
    <w:rsid w:val="00CF73A4"/>
    <w:rsid w:val="00D00222"/>
    <w:rsid w:val="00D0071E"/>
    <w:rsid w:val="00D00AB2"/>
    <w:rsid w:val="00D020F8"/>
    <w:rsid w:val="00D0254C"/>
    <w:rsid w:val="00D03A61"/>
    <w:rsid w:val="00D04DD8"/>
    <w:rsid w:val="00D05098"/>
    <w:rsid w:val="00D1364A"/>
    <w:rsid w:val="00D147EA"/>
    <w:rsid w:val="00D219F2"/>
    <w:rsid w:val="00D2460D"/>
    <w:rsid w:val="00D2601C"/>
    <w:rsid w:val="00D27E33"/>
    <w:rsid w:val="00D31091"/>
    <w:rsid w:val="00D31B09"/>
    <w:rsid w:val="00D34B19"/>
    <w:rsid w:val="00D41D84"/>
    <w:rsid w:val="00D42278"/>
    <w:rsid w:val="00D43337"/>
    <w:rsid w:val="00D4527D"/>
    <w:rsid w:val="00D46279"/>
    <w:rsid w:val="00D466B7"/>
    <w:rsid w:val="00D47614"/>
    <w:rsid w:val="00D52DDF"/>
    <w:rsid w:val="00D54A22"/>
    <w:rsid w:val="00D5659C"/>
    <w:rsid w:val="00D56DE0"/>
    <w:rsid w:val="00D62F66"/>
    <w:rsid w:val="00D63681"/>
    <w:rsid w:val="00D70163"/>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0DB9"/>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113D"/>
    <w:rsid w:val="00E134AC"/>
    <w:rsid w:val="00E134D1"/>
    <w:rsid w:val="00E13DDA"/>
    <w:rsid w:val="00E2568B"/>
    <w:rsid w:val="00E31BAC"/>
    <w:rsid w:val="00E325C5"/>
    <w:rsid w:val="00E33CC1"/>
    <w:rsid w:val="00E354B1"/>
    <w:rsid w:val="00E35BAA"/>
    <w:rsid w:val="00E35CD6"/>
    <w:rsid w:val="00E35E8C"/>
    <w:rsid w:val="00E36A6B"/>
    <w:rsid w:val="00E37493"/>
    <w:rsid w:val="00E37A00"/>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29"/>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5639"/>
    <w:rsid w:val="00F15A26"/>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6FB"/>
    <w:rsid w:val="00F60B6D"/>
    <w:rsid w:val="00F60D57"/>
    <w:rsid w:val="00F612F3"/>
    <w:rsid w:val="00F6217F"/>
    <w:rsid w:val="00F6446F"/>
    <w:rsid w:val="00F674D3"/>
    <w:rsid w:val="00F67D73"/>
    <w:rsid w:val="00F70594"/>
    <w:rsid w:val="00F725FA"/>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1B8D"/>
    <w:rsid w:val="00FC7093"/>
    <w:rsid w:val="00FC75D1"/>
    <w:rsid w:val="00FD2F89"/>
    <w:rsid w:val="00FD53B5"/>
    <w:rsid w:val="00FE2B77"/>
    <w:rsid w:val="00FE38E8"/>
    <w:rsid w:val="00FE4E99"/>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776C39"/>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776C39"/>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rsid w:val="0040630C"/>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972D1F"/>
    <w:pPr>
      <w:tabs>
        <w:tab w:val="left" w:pos="672"/>
      </w:tabs>
      <w:adjustRightInd w:val="0"/>
      <w:ind w:left="646" w:rightChars="99" w:right="280" w:hanging="646"/>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776C39"/>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776C39"/>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15">
    <w:name w:val="清單段落1"/>
    <w:aliases w:val="清單段落2,表格正文"/>
    <w:basedOn w:val="a"/>
    <w:link w:val="aff0"/>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0">
    <w:name w:val="清單段落 字元"/>
    <w:aliases w:val="清單段落2 字元,表格正文 字元"/>
    <w:link w:val="15"/>
    <w:uiPriority w:val="34"/>
    <w:locked/>
    <w:rsid w:val="00ED011D"/>
    <w:rPr>
      <w:rFonts w:ascii="Calibri" w:hAnsi="Calibri"/>
      <w:kern w:val="2"/>
      <w:sz w:val="24"/>
      <w:szCs w:val="22"/>
      <w:lang w:val="x-none" w:eastAsia="x-none"/>
    </w:rPr>
  </w:style>
  <w:style w:type="paragraph" w:styleId="aff1">
    <w:name w:val="Salutation"/>
    <w:basedOn w:val="a"/>
    <w:next w:val="a"/>
    <w:rsid w:val="00C15CB8"/>
  </w:style>
  <w:style w:type="paragraph" w:styleId="aff2">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3">
    <w:name w:val="未解析的提及"/>
    <w:uiPriority w:val="99"/>
    <w:semiHidden/>
    <w:unhideWhenUsed/>
    <w:rsid w:val="00376663"/>
    <w:rPr>
      <w:color w:val="605E5C"/>
      <w:shd w:val="clear" w:color="auto" w:fill="E1DFDD"/>
    </w:rPr>
  </w:style>
  <w:style w:type="character" w:customStyle="1" w:styleId="1231">
    <w:name w:val="1.2.3. 字元1"/>
    <w:link w:val="123"/>
    <w:rsid w:val="0040630C"/>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4">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 w:type="paragraph" w:styleId="Web">
    <w:name w:val="Normal (Web)"/>
    <w:basedOn w:val="a"/>
    <w:uiPriority w:val="99"/>
    <w:semiHidden/>
    <w:unhideWhenUsed/>
    <w:rsid w:val="004119B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math-inline">
    <w:name w:val="math-inline"/>
    <w:basedOn w:val="a0"/>
    <w:rsid w:val="00CA6193"/>
  </w:style>
  <w:style w:type="character" w:customStyle="1" w:styleId="citation-396">
    <w:name w:val="citation-396"/>
    <w:basedOn w:val="a0"/>
    <w:rsid w:val="00336C59"/>
  </w:style>
  <w:style w:type="character" w:customStyle="1" w:styleId="citation-395">
    <w:name w:val="citation-395"/>
    <w:basedOn w:val="a0"/>
    <w:rsid w:val="00336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8464">
      <w:bodyDiv w:val="1"/>
      <w:marLeft w:val="0"/>
      <w:marRight w:val="0"/>
      <w:marTop w:val="0"/>
      <w:marBottom w:val="0"/>
      <w:divBdr>
        <w:top w:val="none" w:sz="0" w:space="0" w:color="auto"/>
        <w:left w:val="none" w:sz="0" w:space="0" w:color="auto"/>
        <w:bottom w:val="none" w:sz="0" w:space="0" w:color="auto"/>
        <w:right w:val="none" w:sz="0" w:space="0" w:color="auto"/>
      </w:divBdr>
    </w:div>
    <w:div w:id="562638912">
      <w:bodyDiv w:val="1"/>
      <w:marLeft w:val="0"/>
      <w:marRight w:val="0"/>
      <w:marTop w:val="0"/>
      <w:marBottom w:val="0"/>
      <w:divBdr>
        <w:top w:val="none" w:sz="0" w:space="0" w:color="auto"/>
        <w:left w:val="none" w:sz="0" w:space="0" w:color="auto"/>
        <w:bottom w:val="none" w:sz="0" w:space="0" w:color="auto"/>
        <w:right w:val="none" w:sz="0" w:space="0" w:color="auto"/>
      </w:divBdr>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109662425">
      <w:bodyDiv w:val="1"/>
      <w:marLeft w:val="0"/>
      <w:marRight w:val="0"/>
      <w:marTop w:val="0"/>
      <w:marBottom w:val="0"/>
      <w:divBdr>
        <w:top w:val="none" w:sz="0" w:space="0" w:color="auto"/>
        <w:left w:val="none" w:sz="0" w:space="0" w:color="auto"/>
        <w:bottom w:val="none" w:sz="0" w:space="0" w:color="auto"/>
        <w:right w:val="none" w:sz="0" w:space="0" w:color="auto"/>
      </w:divBdr>
    </w:div>
    <w:div w:id="1158691744">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 w:id="154378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fsc.gov.tw/ch/home.jsp?id=132&amp;parentpath=0,2&amp;mcustomize=cyclopedia_view.jsp&amp;dataserno=2021041400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47035-69BA-456A-96F8-0F00C9C45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297</Words>
  <Characters>1696</Characters>
  <Application>Microsoft Office Word</Application>
  <DocSecurity>0</DocSecurity>
  <Lines>14</Lines>
  <Paragraphs>3</Paragraphs>
  <ScaleCrop>false</ScaleCrop>
  <Company>HOME</Company>
  <LinksUpToDate>false</LinksUpToDate>
  <CharactersWithSpaces>1990</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2026-03-26T08:35:00Z</cp:lastPrinted>
  <dcterms:created xsi:type="dcterms:W3CDTF">2026-03-30T02:42:00Z</dcterms:created>
  <dcterms:modified xsi:type="dcterms:W3CDTF">2026-03-30T02:42:00Z</dcterms:modified>
</cp:coreProperties>
</file>