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75" w:rsidRPr="0032536D" w:rsidRDefault="00D95C75" w:rsidP="00036BA6">
      <w:pPr>
        <w:pStyle w:val="aa"/>
        <w:rPr>
          <w:rFonts w:hAnsi="標楷體"/>
          <w:spacing w:val="-4"/>
        </w:rPr>
      </w:pPr>
      <w:bookmarkStart w:id="0" w:name="_Hlk182297217"/>
      <w:r w:rsidRPr="0032536D">
        <w:rPr>
          <w:rFonts w:hAnsi="標楷體" w:hint="eastAsia"/>
          <w:spacing w:val="-4"/>
        </w:rPr>
        <w:t>臺銀人壽保險股份有限公司11</w:t>
      </w:r>
      <w:r w:rsidR="0040630C">
        <w:rPr>
          <w:rFonts w:hAnsi="標楷體" w:hint="eastAsia"/>
          <w:spacing w:val="-4"/>
        </w:rPr>
        <w:t>3</w:t>
      </w:r>
      <w:r w:rsidRPr="0032536D">
        <w:rPr>
          <w:rFonts w:hAnsi="標楷體" w:hint="eastAsia"/>
          <w:spacing w:val="-4"/>
        </w:rPr>
        <w:t>年度營業</w:t>
      </w:r>
      <w:r w:rsidR="00B23FF7" w:rsidRPr="000B5578">
        <w:rPr>
          <w:rFonts w:hAnsi="標楷體"/>
          <w:spacing w:val="-20"/>
        </w:rPr>
        <w:t>決</w:t>
      </w:r>
      <w:r w:rsidRPr="0032536D">
        <w:rPr>
          <w:rFonts w:hAnsi="標楷體" w:hint="eastAsia"/>
          <w:spacing w:val="-4"/>
        </w:rPr>
        <w:t>算評估報告</w:t>
      </w:r>
    </w:p>
    <w:bookmarkEnd w:id="0"/>
    <w:p w:rsidR="00D95C75" w:rsidRDefault="00100CFE" w:rsidP="00036BA6">
      <w:pPr>
        <w:pStyle w:val="a8"/>
        <w:ind w:firstLine="566"/>
        <w:rPr>
          <w:rFonts w:hAnsi="標楷體"/>
        </w:rPr>
      </w:pPr>
      <w:r w:rsidRPr="00100CFE">
        <w:rPr>
          <w:rFonts w:hAnsi="標楷體" w:hint="eastAsia"/>
        </w:rPr>
        <w:t>臺銀人壽保險股份有限公司(以下簡稱臺銀人壽)主要任務係依保險法規定辦理人身保險業務，並受政府委託辦理軍人保險及替代役保險業務等。臺銀人壽11</w:t>
      </w:r>
      <w:r w:rsidR="00D020F8">
        <w:rPr>
          <w:rFonts w:hAnsi="標楷體" w:hint="eastAsia"/>
        </w:rPr>
        <w:t>3</w:t>
      </w:r>
      <w:r w:rsidR="003E46A8">
        <w:rPr>
          <w:rFonts w:hAnsi="標楷體" w:hint="eastAsia"/>
        </w:rPr>
        <w:t>年度決算</w:t>
      </w:r>
      <w:r w:rsidRPr="00100CFE">
        <w:rPr>
          <w:rFonts w:hAnsi="標楷體" w:hint="eastAsia"/>
        </w:rPr>
        <w:t>營業收入</w:t>
      </w:r>
      <w:r w:rsidR="00CF1E86">
        <w:rPr>
          <w:rFonts w:hAnsi="標楷體" w:hint="eastAsia"/>
        </w:rPr>
        <w:t>521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3,103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7</w:t>
      </w:r>
      <w:r w:rsidRPr="00100CFE">
        <w:rPr>
          <w:rFonts w:hAnsi="標楷體" w:hint="eastAsia"/>
        </w:rPr>
        <w:t>千元，營業成本</w:t>
      </w:r>
      <w:r w:rsidR="00CF1E86">
        <w:rPr>
          <w:rFonts w:hAnsi="標楷體" w:hint="eastAsia"/>
        </w:rPr>
        <w:t>504</w:t>
      </w:r>
      <w:r w:rsidRPr="00100CFE">
        <w:rPr>
          <w:rFonts w:hAnsi="標楷體" w:hint="eastAsia"/>
        </w:rPr>
        <w:t>億9</w:t>
      </w:r>
      <w:r w:rsidR="00CF1E86">
        <w:rPr>
          <w:rFonts w:hAnsi="標楷體" w:hint="eastAsia"/>
        </w:rPr>
        <w:t>,</w:t>
      </w:r>
      <w:r w:rsidR="00CF1E86">
        <w:rPr>
          <w:rFonts w:hAnsi="標楷體"/>
        </w:rPr>
        <w:t>318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2</w:t>
      </w:r>
      <w:r w:rsidRPr="00100CFE">
        <w:rPr>
          <w:rFonts w:hAnsi="標楷體" w:hint="eastAsia"/>
        </w:rPr>
        <w:t>千元，營業費用</w:t>
      </w:r>
      <w:r w:rsidR="00CF1E86">
        <w:rPr>
          <w:rFonts w:hAnsi="標楷體" w:hint="eastAsia"/>
        </w:rPr>
        <w:t>9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3,3</w:t>
      </w:r>
      <w:r w:rsidR="00CF1E86">
        <w:rPr>
          <w:rFonts w:hAnsi="標楷體"/>
        </w:rPr>
        <w:t>30</w:t>
      </w:r>
      <w:r w:rsidRPr="00100CFE">
        <w:rPr>
          <w:rFonts w:hAnsi="標楷體" w:hint="eastAsia"/>
        </w:rPr>
        <w:t>萬9</w:t>
      </w:r>
      <w:r w:rsidR="00CF1E86">
        <w:rPr>
          <w:rFonts w:hAnsi="標楷體" w:hint="eastAsia"/>
        </w:rPr>
        <w:t>千元，收支相抵後營業利益7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454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6</w:t>
      </w:r>
      <w:r w:rsidRPr="00100CFE">
        <w:rPr>
          <w:rFonts w:hAnsi="標楷體" w:hint="eastAsia"/>
        </w:rPr>
        <w:t>千元；另營業外收入</w:t>
      </w:r>
      <w:r w:rsidR="00CF1E86">
        <w:rPr>
          <w:rFonts w:hAnsi="標楷體" w:hint="eastAsia"/>
        </w:rPr>
        <w:t>1億1,001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9</w:t>
      </w:r>
      <w:r w:rsidRPr="00100CFE">
        <w:rPr>
          <w:rFonts w:hAnsi="標楷體" w:hint="eastAsia"/>
        </w:rPr>
        <w:t>千元，營業外費用</w:t>
      </w:r>
      <w:r w:rsidR="00CF1E86">
        <w:rPr>
          <w:rFonts w:hAnsi="標楷體" w:hint="eastAsia"/>
        </w:rPr>
        <w:t>4,666</w:t>
      </w:r>
      <w:r w:rsidRPr="00100CFE">
        <w:rPr>
          <w:rFonts w:hAnsi="標楷體" w:hint="eastAsia"/>
        </w:rPr>
        <w:t>萬</w:t>
      </w:r>
      <w:r w:rsidR="003A4699">
        <w:rPr>
          <w:rFonts w:hAnsi="標楷體" w:hint="eastAsia"/>
        </w:rPr>
        <w:t>6</w:t>
      </w:r>
      <w:r w:rsidR="00CF1E86">
        <w:rPr>
          <w:rFonts w:hAnsi="標楷體" w:hint="eastAsia"/>
        </w:rPr>
        <w:t>千元，收支相抵後營業外利益6,335</w:t>
      </w:r>
      <w:r w:rsidRPr="00100CFE">
        <w:rPr>
          <w:rFonts w:hAnsi="標楷體" w:hint="eastAsia"/>
        </w:rPr>
        <w:t>萬</w:t>
      </w:r>
      <w:r w:rsidR="003A4699">
        <w:rPr>
          <w:rFonts w:hAnsi="標楷體" w:hint="eastAsia"/>
        </w:rPr>
        <w:t>3</w:t>
      </w:r>
      <w:r w:rsidR="00CF1E86">
        <w:rPr>
          <w:rFonts w:hAnsi="標楷體" w:hint="eastAsia"/>
        </w:rPr>
        <w:t>千元；併計前揭營業利益及營業外利益之稅前淨利7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6,789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9</w:t>
      </w:r>
      <w:r w:rsidRPr="00100CFE">
        <w:rPr>
          <w:rFonts w:hAnsi="標楷體" w:hint="eastAsia"/>
        </w:rPr>
        <w:t>千元，加計所得稅</w:t>
      </w:r>
      <w:r w:rsidR="00CF1E86">
        <w:rPr>
          <w:rFonts w:hAnsi="標楷體" w:hint="eastAsia"/>
        </w:rPr>
        <w:t>利益</w:t>
      </w:r>
      <w:r w:rsidRPr="00100CFE">
        <w:rPr>
          <w:rFonts w:hAnsi="標楷體" w:hint="eastAsia"/>
        </w:rPr>
        <w:t>8億</w:t>
      </w:r>
      <w:r w:rsidR="00CF1E86">
        <w:rPr>
          <w:rFonts w:hAnsi="標楷體" w:hint="eastAsia"/>
        </w:rPr>
        <w:t>6,356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8千元，本期淨利16億3,146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7</w:t>
      </w:r>
      <w:r w:rsidRPr="00100CFE">
        <w:rPr>
          <w:rFonts w:hAnsi="標楷體" w:hint="eastAsia"/>
        </w:rPr>
        <w:t>千元，較11</w:t>
      </w:r>
      <w:r w:rsidR="00CF1E86">
        <w:rPr>
          <w:rFonts w:hAnsi="標楷體" w:hint="eastAsia"/>
        </w:rPr>
        <w:t>3</w:t>
      </w:r>
      <w:r w:rsidRPr="00100CFE">
        <w:rPr>
          <w:rFonts w:hAnsi="標楷體" w:hint="eastAsia"/>
        </w:rPr>
        <w:t>年度</w:t>
      </w:r>
      <w:r w:rsidR="0009687A" w:rsidRPr="00100CFE">
        <w:rPr>
          <w:rFonts w:hAnsi="標楷體" w:hint="eastAsia"/>
        </w:rPr>
        <w:t>預算</w:t>
      </w:r>
      <w:r w:rsidRPr="00100CFE">
        <w:rPr>
          <w:rFonts w:hAnsi="標楷體" w:hint="eastAsia"/>
        </w:rPr>
        <w:t>本期淨損5億</w:t>
      </w:r>
      <w:r w:rsidR="00CF1E86">
        <w:rPr>
          <w:rFonts w:hAnsi="標楷體" w:hint="eastAsia"/>
        </w:rPr>
        <w:t>4,735</w:t>
      </w:r>
      <w:r w:rsidRPr="00100CFE">
        <w:rPr>
          <w:rFonts w:hAnsi="標楷體" w:hint="eastAsia"/>
        </w:rPr>
        <w:t>萬元，</w:t>
      </w:r>
      <w:r w:rsidR="00CF1E86">
        <w:rPr>
          <w:rFonts w:hAnsi="標楷體" w:hint="eastAsia"/>
        </w:rPr>
        <w:t>增加利益21</w:t>
      </w:r>
      <w:r w:rsidRPr="00100CFE">
        <w:rPr>
          <w:rFonts w:hAnsi="標楷體" w:hint="eastAsia"/>
        </w:rPr>
        <w:t>億</w:t>
      </w:r>
      <w:r w:rsidR="00CF1E86">
        <w:rPr>
          <w:rFonts w:hAnsi="標楷體" w:hint="eastAsia"/>
        </w:rPr>
        <w:t>7,881</w:t>
      </w:r>
      <w:r w:rsidRPr="00100CFE">
        <w:rPr>
          <w:rFonts w:hAnsi="標楷體" w:hint="eastAsia"/>
        </w:rPr>
        <w:t>萬</w:t>
      </w:r>
      <w:r w:rsidR="00CF1E86">
        <w:rPr>
          <w:rFonts w:hAnsi="標楷體" w:hint="eastAsia"/>
        </w:rPr>
        <w:t>7</w:t>
      </w:r>
      <w:r w:rsidRPr="00100CFE">
        <w:rPr>
          <w:rFonts w:hAnsi="標楷體" w:hint="eastAsia"/>
        </w:rPr>
        <w:t>千元。茲就臺銀人壽</w:t>
      </w:r>
      <w:r w:rsidR="00CF1E86">
        <w:rPr>
          <w:rFonts w:hAnsi="標楷體" w:hint="eastAsia"/>
        </w:rPr>
        <w:t>113</w:t>
      </w:r>
      <w:r w:rsidRPr="00100CFE">
        <w:rPr>
          <w:rFonts w:hAnsi="標楷體" w:hint="eastAsia"/>
        </w:rPr>
        <w:t>年度決算案評估如下：</w:t>
      </w:r>
    </w:p>
    <w:p w:rsidR="00FA2182" w:rsidRPr="00041BF6" w:rsidRDefault="000F69B2" w:rsidP="00A43F37">
      <w:pPr>
        <w:pStyle w:val="14"/>
        <w:spacing w:beforeLines="20" w:before="100"/>
        <w:ind w:left="567" w:hanging="567"/>
        <w:rPr>
          <w:rFonts w:hAnsi="標楷體"/>
        </w:rPr>
      </w:pPr>
      <w:bookmarkStart w:id="1" w:name="_Toc402274588"/>
      <w:bookmarkStart w:id="2" w:name="_Toc225434942"/>
      <w:r w:rsidRPr="00041BF6">
        <w:rPr>
          <w:rFonts w:hAnsi="標楷體" w:hint="eastAsia"/>
        </w:rPr>
        <w:t>三</w:t>
      </w:r>
      <w:r w:rsidR="00FA2182" w:rsidRPr="00041BF6">
        <w:rPr>
          <w:rFonts w:hAnsi="標楷體" w:hint="eastAsia"/>
        </w:rPr>
        <w:t>、</w:t>
      </w:r>
      <w:r w:rsidR="00746A85" w:rsidRPr="00041BF6">
        <w:rPr>
          <w:rFonts w:hAnsi="標楷體" w:hint="eastAsia"/>
        </w:rPr>
        <w:t>保險契約市</w:t>
      </w:r>
      <w:r w:rsidR="00041BF6" w:rsidRPr="00041BF6">
        <w:rPr>
          <w:rFonts w:hAnsi="標楷體" w:hint="eastAsia"/>
        </w:rPr>
        <w:t>場</w:t>
      </w:r>
      <w:r w:rsidR="00746A85" w:rsidRPr="00041BF6">
        <w:rPr>
          <w:rFonts w:hAnsi="標楷體" w:hint="eastAsia"/>
        </w:rPr>
        <w:t>占</w:t>
      </w:r>
      <w:r w:rsidR="00041BF6" w:rsidRPr="00041BF6">
        <w:rPr>
          <w:rFonts w:hAnsi="標楷體" w:hint="eastAsia"/>
        </w:rPr>
        <w:t>有</w:t>
      </w:r>
      <w:r w:rsidR="00746A85" w:rsidRPr="00041BF6">
        <w:rPr>
          <w:rFonts w:hAnsi="標楷體" w:hint="eastAsia"/>
        </w:rPr>
        <w:t>率</w:t>
      </w:r>
      <w:r w:rsidR="00590B95" w:rsidRPr="00041BF6">
        <w:rPr>
          <w:rFonts w:hAnsi="標楷體" w:hint="eastAsia"/>
        </w:rPr>
        <w:t>概呈</w:t>
      </w:r>
      <w:r w:rsidR="00746A85" w:rsidRPr="00041BF6">
        <w:rPr>
          <w:rFonts w:hAnsi="標楷體" w:hint="eastAsia"/>
        </w:rPr>
        <w:t>下滑</w:t>
      </w:r>
      <w:r w:rsidR="00590B95" w:rsidRPr="00041BF6">
        <w:rPr>
          <w:rFonts w:hAnsi="標楷體" w:hint="eastAsia"/>
        </w:rPr>
        <w:t>趨勢</w:t>
      </w:r>
      <w:r w:rsidR="00746A85" w:rsidRPr="00041BF6">
        <w:rPr>
          <w:rFonts w:hAnsi="標楷體" w:hint="eastAsia"/>
        </w:rPr>
        <w:t>，</w:t>
      </w:r>
      <w:r w:rsidR="00041BF6" w:rsidRPr="00041BF6">
        <w:rPr>
          <w:rFonts w:hAnsi="標楷體" w:hint="eastAsia"/>
        </w:rPr>
        <w:t>且</w:t>
      </w:r>
      <w:r w:rsidR="00746A85" w:rsidRPr="00041BF6">
        <w:rPr>
          <w:rFonts w:hAnsi="標楷體" w:hint="eastAsia"/>
        </w:rPr>
        <w:t>有效契約</w:t>
      </w:r>
      <w:r w:rsidR="00041BF6" w:rsidRPr="00041BF6">
        <w:rPr>
          <w:rFonts w:hAnsi="標楷體" w:hint="eastAsia"/>
        </w:rPr>
        <w:t>占比縮減尤為顯著</w:t>
      </w:r>
      <w:r w:rsidR="00746A85" w:rsidRPr="00041BF6">
        <w:rPr>
          <w:rFonts w:hAnsi="標楷體" w:hint="eastAsia"/>
        </w:rPr>
        <w:t>，允宜</w:t>
      </w:r>
      <w:r w:rsidR="00041BF6" w:rsidRPr="00041BF6">
        <w:rPr>
          <w:rFonts w:hint="eastAsia"/>
        </w:rPr>
        <w:t>核</w:t>
      </w:r>
      <w:r w:rsidR="00D70163">
        <w:rPr>
          <w:rFonts w:hint="eastAsia"/>
        </w:rPr>
        <w:t>實評估商品貢獻度，積極開發差異化商品，並強化客群經營，俾提升市占</w:t>
      </w:r>
      <w:r w:rsidR="00041BF6" w:rsidRPr="00041BF6">
        <w:rPr>
          <w:rFonts w:hint="eastAsia"/>
        </w:rPr>
        <w:t>率</w:t>
      </w:r>
      <w:bookmarkEnd w:id="2"/>
    </w:p>
    <w:p w:rsidR="00FA2182" w:rsidRPr="00B95C5C" w:rsidRDefault="00746A85" w:rsidP="00A43F37">
      <w:pPr>
        <w:ind w:left="566" w:firstLine="566"/>
      </w:pPr>
      <w:r w:rsidRPr="00B95C5C">
        <w:rPr>
          <w:rFonts w:hint="eastAsia"/>
        </w:rPr>
        <w:t>臺銀人壽依保險法規</w:t>
      </w:r>
      <w:r w:rsidR="00D70163">
        <w:rPr>
          <w:rFonts w:hint="eastAsia"/>
        </w:rPr>
        <w:t>定辦理人身保險業務，並受政府委託辦理軍人保險及替代役保險業務，</w:t>
      </w:r>
      <w:r w:rsidRPr="00B95C5C">
        <w:rPr>
          <w:rFonts w:hint="eastAsia"/>
        </w:rPr>
        <w:t>及其他主管機關核准辦理之業務，</w:t>
      </w:r>
      <w:r w:rsidR="00B95C5C" w:rsidRPr="00B95C5C">
        <w:rPr>
          <w:rFonts w:hint="eastAsia"/>
        </w:rPr>
        <w:t>113</w:t>
      </w:r>
      <w:r w:rsidRPr="00B95C5C">
        <w:rPr>
          <w:rFonts w:hint="eastAsia"/>
        </w:rPr>
        <w:t>年度保險契約市</w:t>
      </w:r>
      <w:r w:rsidR="00D70163">
        <w:rPr>
          <w:rFonts w:hint="eastAsia"/>
        </w:rPr>
        <w:t>場</w:t>
      </w:r>
      <w:r w:rsidRPr="00B95C5C">
        <w:rPr>
          <w:rFonts w:hint="eastAsia"/>
        </w:rPr>
        <w:t>占</w:t>
      </w:r>
      <w:r w:rsidR="00D70163">
        <w:rPr>
          <w:rFonts w:hint="eastAsia"/>
        </w:rPr>
        <w:t>有</w:t>
      </w:r>
      <w:r w:rsidRPr="00B95C5C">
        <w:rPr>
          <w:rFonts w:hint="eastAsia"/>
        </w:rPr>
        <w:t>率</w:t>
      </w:r>
      <w:r w:rsidR="00B95C5C" w:rsidRPr="00B95C5C">
        <w:rPr>
          <w:rFonts w:hint="eastAsia"/>
        </w:rPr>
        <w:t>為0.68</w:t>
      </w:r>
      <w:r w:rsidRPr="00B95C5C">
        <w:rPr>
          <w:rFonts w:hint="eastAsia"/>
        </w:rPr>
        <w:t>%。經查：</w:t>
      </w:r>
    </w:p>
    <w:p w:rsidR="00FA2182" w:rsidRPr="00421CE3" w:rsidRDefault="00FA2182" w:rsidP="00A43F37">
      <w:pPr>
        <w:pStyle w:val="a4"/>
        <w:ind w:left="849" w:hanging="283"/>
      </w:pPr>
      <w:r w:rsidRPr="00421CE3">
        <w:rPr>
          <w:rFonts w:hint="eastAsia"/>
        </w:rPr>
        <w:t>(一)</w:t>
      </w:r>
      <w:r w:rsidR="00746A85" w:rsidRPr="00421CE3">
        <w:rPr>
          <w:rFonts w:hint="eastAsia"/>
        </w:rPr>
        <w:t>臺銀人壽</w:t>
      </w:r>
      <w:r w:rsidR="00421CE3">
        <w:rPr>
          <w:rFonts w:hint="eastAsia"/>
        </w:rPr>
        <w:t>部分</w:t>
      </w:r>
      <w:r w:rsidR="00746A85" w:rsidRPr="00421CE3">
        <w:rPr>
          <w:rFonts w:hint="eastAsia"/>
        </w:rPr>
        <w:t>險種契約市場占有率概呈下降趨勢</w:t>
      </w:r>
    </w:p>
    <w:p w:rsidR="00746A85" w:rsidRPr="003F1329" w:rsidRDefault="003F1329" w:rsidP="00746A85">
      <w:pPr>
        <w:pStyle w:val="21"/>
        <w:ind w:left="850" w:firstLine="566"/>
      </w:pPr>
      <w:r w:rsidRPr="003F1329">
        <w:rPr>
          <w:rFonts w:hint="eastAsia"/>
        </w:rPr>
        <w:t>參據</w:t>
      </w:r>
      <w:r w:rsidR="00746A85" w:rsidRPr="003F1329">
        <w:rPr>
          <w:rFonts w:hint="eastAsia"/>
        </w:rPr>
        <w:t>保險業公開資訊觀測站資訊，臺銀人壽各險種110至11</w:t>
      </w:r>
      <w:r w:rsidR="00B95C5C" w:rsidRPr="003F1329">
        <w:t>3</w:t>
      </w:r>
      <w:r w:rsidR="00746A85" w:rsidRPr="003F1329">
        <w:rPr>
          <w:rFonts w:hint="eastAsia"/>
        </w:rPr>
        <w:t>年度之市場占有率</w:t>
      </w:r>
      <w:r w:rsidR="00B95C5C" w:rsidRPr="003F1329">
        <w:rPr>
          <w:rFonts w:hint="eastAsia"/>
        </w:rPr>
        <w:t>，除健康保險外，</w:t>
      </w:r>
      <w:r w:rsidR="00746A85" w:rsidRPr="003F1329">
        <w:rPr>
          <w:rFonts w:hint="eastAsia"/>
        </w:rPr>
        <w:t>概呈下滑趨勢(詳表1)，概述如下：</w:t>
      </w:r>
    </w:p>
    <w:p w:rsidR="00746A85" w:rsidRPr="00D31B09" w:rsidRDefault="00746A85" w:rsidP="00746A85">
      <w:pPr>
        <w:pStyle w:val="123"/>
        <w:ind w:left="1133" w:hanging="283"/>
        <w:rPr>
          <w:b w:val="0"/>
          <w:bCs/>
        </w:rPr>
      </w:pPr>
      <w:r w:rsidRPr="00D31B09">
        <w:rPr>
          <w:rFonts w:hAnsi="標楷體" w:hint="eastAsia"/>
          <w:b w:val="0"/>
        </w:rPr>
        <w:t>1.人</w:t>
      </w:r>
      <w:r w:rsidRPr="00D31B09">
        <w:rPr>
          <w:rFonts w:hint="eastAsia"/>
          <w:b w:val="0"/>
          <w:bCs/>
        </w:rPr>
        <w:t>壽保險新契約</w:t>
      </w:r>
      <w:r w:rsidR="006C33A4" w:rsidRPr="00D31B09">
        <w:rPr>
          <w:rFonts w:hint="eastAsia"/>
          <w:b w:val="0"/>
          <w:bCs/>
        </w:rPr>
        <w:t>市占率</w:t>
      </w:r>
      <w:r w:rsidR="003F1329" w:rsidRPr="00D31B09">
        <w:rPr>
          <w:rFonts w:hint="eastAsia"/>
          <w:b w:val="0"/>
          <w:bCs/>
        </w:rPr>
        <w:t>雖</w:t>
      </w:r>
      <w:r w:rsidR="006C33A4" w:rsidRPr="00D31B09">
        <w:rPr>
          <w:rFonts w:hint="eastAsia"/>
          <w:b w:val="0"/>
          <w:bCs/>
        </w:rPr>
        <w:t>由</w:t>
      </w:r>
      <w:r w:rsidR="003F1329" w:rsidRPr="00D31B09">
        <w:rPr>
          <w:rFonts w:hint="eastAsia"/>
          <w:b w:val="0"/>
          <w:bCs/>
        </w:rPr>
        <w:t>110年</w:t>
      </w:r>
      <w:r w:rsidR="006C33A4" w:rsidRPr="00D31B09">
        <w:rPr>
          <w:rFonts w:hint="eastAsia"/>
          <w:b w:val="0"/>
          <w:bCs/>
        </w:rPr>
        <w:t>度</w:t>
      </w:r>
      <w:r w:rsidR="003F1329" w:rsidRPr="00D31B09">
        <w:rPr>
          <w:rFonts w:hint="eastAsia"/>
          <w:b w:val="0"/>
          <w:bCs/>
        </w:rPr>
        <w:t>之0.18%</w:t>
      </w:r>
      <w:r w:rsidR="006C33A4" w:rsidRPr="00D31B09">
        <w:rPr>
          <w:rFonts w:hint="eastAsia"/>
          <w:b w:val="0"/>
          <w:bCs/>
        </w:rPr>
        <w:t>成長</w:t>
      </w:r>
      <w:r w:rsidR="003F1329" w:rsidRPr="00D31B09">
        <w:rPr>
          <w:rFonts w:hint="eastAsia"/>
          <w:b w:val="0"/>
          <w:bCs/>
        </w:rPr>
        <w:t>至113年</w:t>
      </w:r>
      <w:r w:rsidR="006C33A4" w:rsidRPr="00D31B09">
        <w:rPr>
          <w:rFonts w:hint="eastAsia"/>
          <w:b w:val="0"/>
          <w:bCs/>
        </w:rPr>
        <w:t>度</w:t>
      </w:r>
      <w:r w:rsidR="003F1329" w:rsidRPr="00D31B09">
        <w:rPr>
          <w:rFonts w:hint="eastAsia"/>
          <w:b w:val="0"/>
          <w:bCs/>
        </w:rPr>
        <w:t>之0.7</w:t>
      </w:r>
      <w:r w:rsidR="006C33A4" w:rsidRPr="00D31B09">
        <w:rPr>
          <w:rFonts w:hint="eastAsia"/>
          <w:b w:val="0"/>
          <w:bCs/>
        </w:rPr>
        <w:t>1</w:t>
      </w:r>
      <w:r w:rsidR="003F1329" w:rsidRPr="00D31B09">
        <w:rPr>
          <w:rFonts w:hint="eastAsia"/>
          <w:b w:val="0"/>
          <w:bCs/>
        </w:rPr>
        <w:t>%，</w:t>
      </w:r>
      <w:r w:rsidR="006C33A4" w:rsidRPr="00D31B09">
        <w:rPr>
          <w:rFonts w:hint="eastAsia"/>
          <w:b w:val="0"/>
          <w:bCs/>
        </w:rPr>
        <w:t>惟</w:t>
      </w:r>
      <w:r w:rsidR="00D31B09">
        <w:rPr>
          <w:rFonts w:hint="eastAsia"/>
          <w:b w:val="0"/>
          <w:bCs/>
        </w:rPr>
        <w:t>同期間</w:t>
      </w:r>
      <w:r w:rsidR="006C33A4" w:rsidRPr="00D31B09">
        <w:rPr>
          <w:rFonts w:hint="eastAsia"/>
          <w:b w:val="0"/>
          <w:bCs/>
        </w:rPr>
        <w:t>有效契約市占率由1.76%逐年下滑至0.78%，致整體市占率</w:t>
      </w:r>
      <w:r w:rsidR="00D31B09" w:rsidRPr="00D31B09">
        <w:rPr>
          <w:rFonts w:hint="eastAsia"/>
          <w:b w:val="0"/>
          <w:bCs/>
        </w:rPr>
        <w:t>由110年度之1.37%下降至113年度之0.76%，</w:t>
      </w:r>
      <w:r w:rsidR="006C33A4" w:rsidRPr="00D31B09">
        <w:rPr>
          <w:rFonts w:hint="eastAsia"/>
          <w:b w:val="0"/>
          <w:bCs/>
        </w:rPr>
        <w:t>概呈下滑趨勢</w:t>
      </w:r>
      <w:r w:rsidRPr="00D31B09">
        <w:rPr>
          <w:rFonts w:hint="eastAsia"/>
          <w:b w:val="0"/>
          <w:bCs/>
        </w:rPr>
        <w:t>。</w:t>
      </w:r>
    </w:p>
    <w:p w:rsidR="00746A85" w:rsidRPr="00D31B09" w:rsidRDefault="00746A85" w:rsidP="00746A85">
      <w:pPr>
        <w:pStyle w:val="123"/>
        <w:ind w:left="1133" w:hanging="283"/>
        <w:rPr>
          <w:b w:val="0"/>
          <w:bCs/>
        </w:rPr>
      </w:pPr>
      <w:r w:rsidRPr="00D31B09">
        <w:rPr>
          <w:rFonts w:hint="eastAsia"/>
          <w:b w:val="0"/>
          <w:bCs/>
        </w:rPr>
        <w:t>2.傷害保險新契約</w:t>
      </w:r>
      <w:r w:rsidR="00D31B09" w:rsidRPr="00D31B09">
        <w:rPr>
          <w:rFonts w:hint="eastAsia"/>
          <w:b w:val="0"/>
          <w:bCs/>
        </w:rPr>
        <w:t>市占率由110年度之1.22%降至113年度之</w:t>
      </w:r>
      <w:r w:rsidR="00ED5A29">
        <w:rPr>
          <w:rFonts w:hint="eastAsia"/>
          <w:b w:val="0"/>
          <w:bCs/>
        </w:rPr>
        <w:lastRenderedPageBreak/>
        <w:t>0.9</w:t>
      </w:r>
      <w:r w:rsidR="00D31B09" w:rsidRPr="00D31B09">
        <w:rPr>
          <w:rFonts w:hint="eastAsia"/>
          <w:b w:val="0"/>
          <w:bCs/>
        </w:rPr>
        <w:t>%，同期間有效契約市占率則由0.12%微幅降至</w:t>
      </w:r>
      <w:r w:rsidR="00ED5A29">
        <w:rPr>
          <w:rFonts w:hint="eastAsia"/>
          <w:b w:val="0"/>
          <w:bCs/>
        </w:rPr>
        <w:t>0.1</w:t>
      </w:r>
      <w:r w:rsidR="00D31B09" w:rsidRPr="00D31B09">
        <w:rPr>
          <w:rFonts w:hint="eastAsia"/>
          <w:b w:val="0"/>
          <w:bCs/>
        </w:rPr>
        <w:t>%，</w:t>
      </w:r>
      <w:r w:rsidR="0009687A">
        <w:rPr>
          <w:rFonts w:hint="eastAsia"/>
          <w:b w:val="0"/>
          <w:bCs/>
        </w:rPr>
        <w:t>亦</w:t>
      </w:r>
      <w:r w:rsidR="00D31B09" w:rsidRPr="00D31B09">
        <w:rPr>
          <w:b w:val="0"/>
        </w:rPr>
        <w:t>呈連年下滑</w:t>
      </w:r>
      <w:r w:rsidR="00D31B09" w:rsidRPr="00D31B09">
        <w:rPr>
          <w:rFonts w:hint="eastAsia"/>
          <w:b w:val="0"/>
        </w:rPr>
        <w:t>趨勢</w:t>
      </w:r>
      <w:r w:rsidRPr="00D31B09">
        <w:rPr>
          <w:rFonts w:hint="eastAsia"/>
          <w:b w:val="0"/>
          <w:bCs/>
        </w:rPr>
        <w:t>。</w:t>
      </w:r>
    </w:p>
    <w:p w:rsidR="004956E9" w:rsidRPr="004956E9" w:rsidRDefault="00746A85" w:rsidP="00746A85">
      <w:pPr>
        <w:pStyle w:val="123"/>
        <w:ind w:left="1133" w:hanging="283"/>
        <w:rPr>
          <w:b w:val="0"/>
          <w:bCs/>
          <w:highlight w:val="yellow"/>
        </w:rPr>
      </w:pPr>
      <w:r w:rsidRPr="004956E9">
        <w:rPr>
          <w:rFonts w:hint="eastAsia"/>
          <w:b w:val="0"/>
          <w:bCs/>
        </w:rPr>
        <w:t>3.健康保險</w:t>
      </w:r>
      <w:r w:rsidR="004956E9" w:rsidRPr="004956E9">
        <w:rPr>
          <w:rFonts w:hint="eastAsia"/>
          <w:b w:val="0"/>
          <w:bCs/>
        </w:rPr>
        <w:t>整體市占率由110年度之0.29%逐年增至113年度之</w:t>
      </w:r>
      <w:r w:rsidR="004956E9">
        <w:rPr>
          <w:rFonts w:hint="eastAsia"/>
          <w:b w:val="0"/>
          <w:bCs/>
        </w:rPr>
        <w:t>0.34%</w:t>
      </w:r>
      <w:r w:rsidR="004956E9" w:rsidRPr="004956E9">
        <w:rPr>
          <w:rFonts w:hint="eastAsia"/>
          <w:b w:val="0"/>
          <w:bCs/>
        </w:rPr>
        <w:t>，為表</w:t>
      </w:r>
      <w:r w:rsidR="004956E9">
        <w:rPr>
          <w:rFonts w:hint="eastAsia"/>
          <w:b w:val="0"/>
          <w:bCs/>
        </w:rPr>
        <w:t>現相對穩健之險種</w:t>
      </w:r>
      <w:r w:rsidR="004956E9" w:rsidRPr="004956E9">
        <w:rPr>
          <w:rFonts w:hint="eastAsia"/>
          <w:b w:val="0"/>
          <w:bCs/>
        </w:rPr>
        <w:t>。</w:t>
      </w:r>
    </w:p>
    <w:p w:rsidR="00746A85" w:rsidRDefault="00746A85" w:rsidP="00746A85">
      <w:pPr>
        <w:pStyle w:val="123"/>
        <w:ind w:left="1133" w:hanging="283"/>
        <w:rPr>
          <w:b w:val="0"/>
        </w:rPr>
      </w:pPr>
      <w:r w:rsidRPr="0085414C">
        <w:rPr>
          <w:rFonts w:hint="eastAsia"/>
          <w:b w:val="0"/>
          <w:bCs/>
        </w:rPr>
        <w:t>4.年金保</w:t>
      </w:r>
      <w:r w:rsidRPr="0085414C">
        <w:rPr>
          <w:rFonts w:hint="eastAsia"/>
          <w:b w:val="0"/>
        </w:rPr>
        <w:t>險新契約</w:t>
      </w:r>
      <w:r w:rsidR="004956E9" w:rsidRPr="0085414C">
        <w:rPr>
          <w:rFonts w:hint="eastAsia"/>
          <w:b w:val="0"/>
        </w:rPr>
        <w:t>市占率雖於111年度曾達2.48%，然113年度已回落至0.99%</w:t>
      </w:r>
      <w:r w:rsidRPr="0085414C">
        <w:rPr>
          <w:rFonts w:hint="eastAsia"/>
          <w:b w:val="0"/>
        </w:rPr>
        <w:t>；有效契約</w:t>
      </w:r>
      <w:r w:rsidR="0085414C" w:rsidRPr="0085414C">
        <w:rPr>
          <w:rFonts w:hint="eastAsia"/>
          <w:b w:val="0"/>
        </w:rPr>
        <w:t>市占率由</w:t>
      </w:r>
      <w:r w:rsidRPr="0085414C">
        <w:rPr>
          <w:rFonts w:hint="eastAsia"/>
          <w:b w:val="0"/>
        </w:rPr>
        <w:t>110年</w:t>
      </w:r>
      <w:r w:rsidR="0085414C" w:rsidRPr="0085414C">
        <w:rPr>
          <w:rFonts w:hint="eastAsia"/>
          <w:b w:val="0"/>
        </w:rPr>
        <w:t>度之</w:t>
      </w:r>
      <w:r w:rsidRPr="0085414C">
        <w:rPr>
          <w:rFonts w:hint="eastAsia"/>
          <w:b w:val="0"/>
        </w:rPr>
        <w:t>0.64%</w:t>
      </w:r>
      <w:r w:rsidR="0085414C" w:rsidRPr="0085414C">
        <w:rPr>
          <w:rFonts w:hint="eastAsia"/>
          <w:b w:val="0"/>
        </w:rPr>
        <w:t>下滑至113</w:t>
      </w:r>
      <w:r w:rsidRPr="0085414C">
        <w:rPr>
          <w:rFonts w:hint="eastAsia"/>
          <w:b w:val="0"/>
        </w:rPr>
        <w:t>年</w:t>
      </w:r>
      <w:r w:rsidR="0085414C" w:rsidRPr="0085414C">
        <w:rPr>
          <w:rFonts w:hint="eastAsia"/>
          <w:b w:val="0"/>
        </w:rPr>
        <w:t>度之0.03</w:t>
      </w:r>
      <w:r w:rsidRPr="0085414C">
        <w:rPr>
          <w:rFonts w:hint="eastAsia"/>
          <w:b w:val="0"/>
        </w:rPr>
        <w:t>%</w:t>
      </w:r>
      <w:r w:rsidR="0085414C" w:rsidRPr="0085414C">
        <w:rPr>
          <w:rFonts w:hint="eastAsia"/>
          <w:b w:val="0"/>
        </w:rPr>
        <w:t>，市占率呈現大幅萎縮。</w:t>
      </w:r>
    </w:p>
    <w:p w:rsidR="0085414C" w:rsidRPr="0085414C" w:rsidRDefault="00ED5A29" w:rsidP="0085414C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承前，</w:t>
      </w:r>
      <w:r w:rsidR="0085414C" w:rsidRPr="00421CE3">
        <w:rPr>
          <w:snapToGrid/>
        </w:rPr>
        <w:t>臺銀人壽</w:t>
      </w:r>
      <w:r w:rsidR="00421CE3" w:rsidRPr="00421CE3">
        <w:rPr>
          <w:rFonts w:hint="eastAsia"/>
          <w:snapToGrid/>
        </w:rPr>
        <w:t>各險種</w:t>
      </w:r>
      <w:r w:rsidR="00421CE3" w:rsidRPr="00421CE3">
        <w:rPr>
          <w:snapToGrid/>
        </w:rPr>
        <w:t>新契約</w:t>
      </w:r>
      <w:r w:rsidR="003E2C39" w:rsidRPr="00421CE3">
        <w:rPr>
          <w:snapToGrid/>
        </w:rPr>
        <w:t>市占率</w:t>
      </w:r>
      <w:r w:rsidR="00421CE3">
        <w:rPr>
          <w:rFonts w:hint="eastAsia"/>
          <w:snapToGrid/>
        </w:rPr>
        <w:t>雖</w:t>
      </w:r>
      <w:r w:rsidR="00421CE3" w:rsidRPr="00421CE3">
        <w:rPr>
          <w:rFonts w:hint="eastAsia"/>
          <w:snapToGrid/>
        </w:rPr>
        <w:t>由110年度之0.48%</w:t>
      </w:r>
      <w:r w:rsidR="00421CE3" w:rsidRPr="00421CE3">
        <w:rPr>
          <w:rFonts w:hint="eastAsia"/>
          <w:bCs/>
        </w:rPr>
        <w:t>成長至113年度之0.79%</w:t>
      </w:r>
      <w:r w:rsidR="003E2C39">
        <w:rPr>
          <w:rFonts w:hint="eastAsia"/>
          <w:snapToGrid/>
        </w:rPr>
        <w:t>，</w:t>
      </w:r>
      <w:r w:rsidR="00421CE3">
        <w:rPr>
          <w:rFonts w:hint="eastAsia"/>
          <w:snapToGrid/>
        </w:rPr>
        <w:t>惟</w:t>
      </w:r>
      <w:r>
        <w:rPr>
          <w:rFonts w:hint="eastAsia"/>
          <w:snapToGrid/>
        </w:rPr>
        <w:t>同期間</w:t>
      </w:r>
      <w:r w:rsidR="00421CE3">
        <w:rPr>
          <w:rFonts w:hint="eastAsia"/>
          <w:snapToGrid/>
        </w:rPr>
        <w:t>各險種</w:t>
      </w:r>
      <w:r w:rsidR="0085414C" w:rsidRPr="0085414C">
        <w:rPr>
          <w:snapToGrid/>
        </w:rPr>
        <w:t>有效契約市占率</w:t>
      </w:r>
      <w:r>
        <w:rPr>
          <w:rFonts w:hint="eastAsia"/>
          <w:snapToGrid/>
        </w:rPr>
        <w:t>由1.43%逐年下降</w:t>
      </w:r>
      <w:r w:rsidR="0085414C" w:rsidRPr="0085414C">
        <w:rPr>
          <w:snapToGrid/>
        </w:rPr>
        <w:t>為</w:t>
      </w:r>
      <w:r w:rsidR="003E2C39">
        <w:rPr>
          <w:rFonts w:hint="eastAsia"/>
          <w:snapToGrid/>
        </w:rPr>
        <w:t>0</w:t>
      </w:r>
      <w:r w:rsidR="003E2C39">
        <w:rPr>
          <w:snapToGrid/>
        </w:rPr>
        <w:t>.62%</w:t>
      </w:r>
      <w:r w:rsidR="0085414C" w:rsidRPr="0085414C">
        <w:rPr>
          <w:snapToGrid/>
        </w:rPr>
        <w:t>，</w:t>
      </w:r>
      <w:r>
        <w:rPr>
          <w:rFonts w:hint="eastAsia"/>
          <w:snapToGrid/>
        </w:rPr>
        <w:t>占比</w:t>
      </w:r>
      <w:r w:rsidR="003E2C39">
        <w:rPr>
          <w:snapToGrid/>
        </w:rPr>
        <w:t>減少逾半</w:t>
      </w:r>
      <w:r w:rsidR="003E2C39">
        <w:rPr>
          <w:rFonts w:hint="eastAsia"/>
          <w:snapToGrid/>
        </w:rPr>
        <w:t>，致</w:t>
      </w:r>
      <w:r w:rsidR="00421CE3">
        <w:rPr>
          <w:rFonts w:hint="eastAsia"/>
          <w:snapToGrid/>
        </w:rPr>
        <w:t>該期間各險種</w:t>
      </w:r>
      <w:r w:rsidR="003E2C39">
        <w:rPr>
          <w:rFonts w:hint="eastAsia"/>
          <w:snapToGrid/>
        </w:rPr>
        <w:t>整體市占率</w:t>
      </w:r>
      <w:r w:rsidR="00421CE3">
        <w:rPr>
          <w:rFonts w:hint="eastAsia"/>
          <w:snapToGrid/>
        </w:rPr>
        <w:t>由1.16%下降至0.68%，</w:t>
      </w:r>
      <w:r w:rsidR="003E2C39" w:rsidRPr="003F1329">
        <w:rPr>
          <w:rFonts w:hint="eastAsia"/>
        </w:rPr>
        <w:t>概呈下滑趨勢</w:t>
      </w:r>
      <w:r w:rsidR="0085414C" w:rsidRPr="0085414C">
        <w:rPr>
          <w:snapToGrid/>
        </w:rPr>
        <w:t>。</w:t>
      </w:r>
    </w:p>
    <w:p w:rsidR="0009687A" w:rsidRDefault="00320A72" w:rsidP="00320A72">
      <w:pPr>
        <w:pStyle w:val="21"/>
        <w:spacing w:line="400" w:lineRule="exact"/>
        <w:ind w:leftChars="0" w:left="709" w:hangingChars="250" w:hanging="709"/>
        <w:jc w:val="left"/>
        <w:rPr>
          <w:rFonts w:hAnsi="標楷體"/>
          <w:b/>
          <w:bCs/>
          <w:color w:val="333333"/>
        </w:rPr>
      </w:pPr>
      <w:r w:rsidRPr="00E37A00">
        <w:rPr>
          <w:rFonts w:hAnsi="標楷體"/>
          <w:b/>
          <w:snapToGrid/>
        </w:rPr>
        <w:t>表1</w:t>
      </w:r>
      <w:r w:rsidR="0009687A">
        <w:rPr>
          <w:rFonts w:hAnsi="標楷體" w:hint="eastAsia"/>
          <w:b/>
          <w:snapToGrid/>
        </w:rPr>
        <w:t xml:space="preserve"> </w:t>
      </w:r>
      <w:r w:rsidRPr="00E37A00">
        <w:rPr>
          <w:rFonts w:hAnsi="標楷體"/>
          <w:b/>
          <w:snapToGrid/>
        </w:rPr>
        <w:t xml:space="preserve"> </w:t>
      </w:r>
      <w:r w:rsidR="00E37A00" w:rsidRPr="00E37A00">
        <w:rPr>
          <w:rFonts w:hAnsi="標楷體" w:hint="eastAsia"/>
          <w:b/>
          <w:snapToGrid/>
        </w:rPr>
        <w:t>1</w:t>
      </w:r>
      <w:r w:rsidR="00E37A00" w:rsidRPr="00E37A00">
        <w:rPr>
          <w:rFonts w:hAnsi="標楷體"/>
          <w:b/>
          <w:snapToGrid/>
        </w:rPr>
        <w:t>10</w:t>
      </w:r>
      <w:r w:rsidR="00E37A00" w:rsidRPr="00E37A00">
        <w:rPr>
          <w:rFonts w:hAnsi="標楷體" w:hint="eastAsia"/>
          <w:b/>
          <w:snapToGrid/>
        </w:rPr>
        <w:t>至113</w:t>
      </w:r>
      <w:r w:rsidRPr="00E37A00">
        <w:rPr>
          <w:rFonts w:hAnsi="標楷體"/>
          <w:b/>
          <w:snapToGrid/>
        </w:rPr>
        <w:t>年度臺銀人壽</w:t>
      </w:r>
      <w:r w:rsidR="0009687A">
        <w:rPr>
          <w:rFonts w:hAnsi="標楷體" w:hint="eastAsia"/>
          <w:b/>
          <w:snapToGrid/>
        </w:rPr>
        <w:t>各類保險契約</w:t>
      </w:r>
      <w:r w:rsidRPr="00E37A00">
        <w:rPr>
          <w:rFonts w:hAnsi="標楷體"/>
          <w:b/>
          <w:bCs/>
          <w:color w:val="333333"/>
        </w:rPr>
        <w:t>市場</w:t>
      </w:r>
      <w:r w:rsidRPr="00E37A00">
        <w:rPr>
          <w:rFonts w:hAnsi="標楷體"/>
          <w:b/>
          <w:snapToGrid/>
        </w:rPr>
        <w:t>占</w:t>
      </w:r>
      <w:r w:rsidR="0009687A">
        <w:rPr>
          <w:rFonts w:hAnsi="標楷體"/>
          <w:b/>
          <w:bCs/>
          <w:color w:val="333333"/>
        </w:rPr>
        <w:t>有率</w:t>
      </w:r>
      <w:r w:rsidRPr="00E37A00">
        <w:rPr>
          <w:rFonts w:hAnsi="標楷體"/>
          <w:b/>
          <w:bCs/>
          <w:color w:val="333333"/>
        </w:rPr>
        <w:t>概況</w:t>
      </w:r>
      <w:r w:rsidR="0085414C">
        <w:rPr>
          <w:rFonts w:hAnsi="標楷體" w:hint="eastAsia"/>
          <w:b/>
          <w:bCs/>
          <w:color w:val="333333"/>
        </w:rPr>
        <w:t>表</w:t>
      </w:r>
      <w:r w:rsidRPr="00E37A00">
        <w:rPr>
          <w:rFonts w:hAnsi="標楷體"/>
          <w:b/>
          <w:bCs/>
          <w:color w:val="333333"/>
        </w:rPr>
        <w:t xml:space="preserve"> </w:t>
      </w:r>
    </w:p>
    <w:p w:rsidR="00320A72" w:rsidRPr="00E37A00" w:rsidRDefault="00320A72" w:rsidP="0009687A">
      <w:pPr>
        <w:pStyle w:val="21"/>
        <w:spacing w:line="400" w:lineRule="exact"/>
        <w:ind w:leftChars="0" w:left="608" w:hangingChars="250" w:hanging="608"/>
        <w:jc w:val="right"/>
        <w:rPr>
          <w:rFonts w:hAnsi="標楷體"/>
          <w:sz w:val="24"/>
          <w:szCs w:val="24"/>
        </w:rPr>
      </w:pPr>
      <w:r w:rsidRPr="00E37A00">
        <w:rPr>
          <w:rFonts w:hAnsi="標楷體"/>
          <w:bCs/>
          <w:color w:val="333333"/>
          <w:sz w:val="24"/>
          <w:szCs w:val="24"/>
        </w:rPr>
        <w:t>單位：%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6"/>
        <w:gridCol w:w="1394"/>
        <w:gridCol w:w="1498"/>
        <w:gridCol w:w="1499"/>
        <w:gridCol w:w="1499"/>
        <w:gridCol w:w="1499"/>
      </w:tblGrid>
      <w:tr w:rsidR="00E37A00" w:rsidRPr="00E37A00" w:rsidTr="00E37A00">
        <w:trPr>
          <w:trHeight w:val="20"/>
          <w:tblHeader/>
        </w:trPr>
        <w:tc>
          <w:tcPr>
            <w:tcW w:w="2510" w:type="dxa"/>
            <w:gridSpan w:val="2"/>
            <w:shd w:val="clear" w:color="auto" w:fill="auto"/>
            <w:vAlign w:val="center"/>
            <w:hideMark/>
          </w:tcPr>
          <w:p w:rsidR="00E37A00" w:rsidRPr="00E37A00" w:rsidRDefault="00E37A00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險別</w:t>
            </w:r>
          </w:p>
          <w:p w:rsidR="00E37A00" w:rsidRPr="00E37A00" w:rsidRDefault="00E37A00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新契約/有效契約</w:t>
            </w:r>
          </w:p>
        </w:tc>
        <w:tc>
          <w:tcPr>
            <w:tcW w:w="1498" w:type="dxa"/>
            <w:vAlign w:val="center"/>
          </w:tcPr>
          <w:p w:rsidR="00E37A00" w:rsidRDefault="00E37A00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11</w:t>
            </w:r>
            <w:r w:rsidR="0009687A">
              <w:rPr>
                <w:rFonts w:hAnsi="標楷體" w:hint="eastAsia"/>
                <w:snapToGrid/>
                <w:sz w:val="24"/>
              </w:rPr>
              <w:t>0</w:t>
            </w:r>
            <w:r w:rsidRPr="00E37A00">
              <w:rPr>
                <w:rFonts w:hAnsi="標楷體"/>
                <w:snapToGrid/>
                <w:sz w:val="24"/>
              </w:rPr>
              <w:t>年度</w:t>
            </w:r>
          </w:p>
          <w:p w:rsidR="00E37A00" w:rsidRPr="00E37A00" w:rsidRDefault="00E37A00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比率</w:t>
            </w:r>
          </w:p>
        </w:tc>
        <w:tc>
          <w:tcPr>
            <w:tcW w:w="1499" w:type="dxa"/>
            <w:shd w:val="clear" w:color="auto" w:fill="auto"/>
            <w:vAlign w:val="center"/>
            <w:hideMark/>
          </w:tcPr>
          <w:p w:rsidR="00E37A00" w:rsidRDefault="0009687A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/>
                <w:snapToGrid/>
                <w:sz w:val="24"/>
              </w:rPr>
              <w:t>11</w:t>
            </w:r>
            <w:r>
              <w:rPr>
                <w:rFonts w:hAnsi="標楷體" w:hint="eastAsia"/>
                <w:snapToGrid/>
                <w:sz w:val="24"/>
              </w:rPr>
              <w:t>1</w:t>
            </w:r>
            <w:r w:rsidR="00E37A00" w:rsidRPr="00E37A00">
              <w:rPr>
                <w:rFonts w:hAnsi="標楷體"/>
                <w:snapToGrid/>
                <w:sz w:val="24"/>
              </w:rPr>
              <w:t>年度</w:t>
            </w:r>
          </w:p>
          <w:p w:rsidR="00E37A00" w:rsidRPr="00E37A00" w:rsidRDefault="00E37A00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比率</w:t>
            </w:r>
          </w:p>
        </w:tc>
        <w:tc>
          <w:tcPr>
            <w:tcW w:w="1499" w:type="dxa"/>
            <w:shd w:val="clear" w:color="auto" w:fill="auto"/>
            <w:vAlign w:val="center"/>
            <w:hideMark/>
          </w:tcPr>
          <w:p w:rsidR="00E37A00" w:rsidRDefault="0009687A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/>
                <w:snapToGrid/>
                <w:sz w:val="24"/>
              </w:rPr>
              <w:t>11</w:t>
            </w:r>
            <w:r>
              <w:rPr>
                <w:rFonts w:hAnsi="標楷體" w:hint="eastAsia"/>
                <w:snapToGrid/>
                <w:sz w:val="24"/>
              </w:rPr>
              <w:t>2</w:t>
            </w:r>
            <w:r w:rsidR="00E37A00" w:rsidRPr="00E37A00">
              <w:rPr>
                <w:rFonts w:hAnsi="標楷體"/>
                <w:snapToGrid/>
                <w:sz w:val="24"/>
              </w:rPr>
              <w:t>年度</w:t>
            </w:r>
          </w:p>
          <w:p w:rsidR="00E37A00" w:rsidRPr="00E37A00" w:rsidRDefault="00E37A00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比率</w:t>
            </w:r>
          </w:p>
        </w:tc>
        <w:tc>
          <w:tcPr>
            <w:tcW w:w="1499" w:type="dxa"/>
            <w:shd w:val="clear" w:color="auto" w:fill="auto"/>
            <w:vAlign w:val="center"/>
            <w:hideMark/>
          </w:tcPr>
          <w:p w:rsidR="00E37A00" w:rsidRDefault="0009687A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/>
                <w:snapToGrid/>
                <w:sz w:val="24"/>
              </w:rPr>
              <w:t>11</w:t>
            </w:r>
            <w:r>
              <w:rPr>
                <w:rFonts w:hAnsi="標楷體" w:hint="eastAsia"/>
                <w:snapToGrid/>
                <w:sz w:val="24"/>
              </w:rPr>
              <w:t>3</w:t>
            </w:r>
            <w:r w:rsidR="00E37A00" w:rsidRPr="00E37A00">
              <w:rPr>
                <w:rFonts w:hAnsi="標楷體"/>
                <w:snapToGrid/>
                <w:sz w:val="24"/>
              </w:rPr>
              <w:t>年度</w:t>
            </w:r>
          </w:p>
          <w:p w:rsidR="00E37A00" w:rsidRPr="00E37A00" w:rsidRDefault="00E37A00" w:rsidP="00E37A0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比率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 w:val="restart"/>
            <w:shd w:val="clear" w:color="auto" w:fill="auto"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人壽保險</w:t>
            </w: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新契約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0.18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</w:t>
            </w:r>
            <w:r>
              <w:rPr>
                <w:rFonts w:hAnsi="標楷體"/>
                <w:snapToGrid/>
                <w:sz w:val="24"/>
              </w:rPr>
              <w:t>0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0.24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0.71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560" w:firstLineChars="0" w:firstLine="56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有效契約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1.76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0.99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0.91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0.78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560" w:firstLineChars="0" w:firstLine="56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小計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1.37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0.76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0.71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0.76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 w:val="restart"/>
            <w:shd w:val="clear" w:color="auto" w:fill="auto"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傷害保險</w:t>
            </w: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新契約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1.22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1.17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0.96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0.90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有效契約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0.12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0.11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0.11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0.10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小計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0.29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0.28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0.27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0.25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 w:val="restart"/>
            <w:shd w:val="clear" w:color="auto" w:fill="auto"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健康保險</w:t>
            </w: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新契約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0.28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0.35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0.35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0.69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有效契約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0.29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</w:t>
            </w:r>
            <w:r>
              <w:rPr>
                <w:rFonts w:hAnsi="標楷體"/>
                <w:snapToGrid/>
                <w:sz w:val="24"/>
              </w:rPr>
              <w:t>0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0.31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0.30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小計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0.29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0.31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0.32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0.34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 w:val="restart"/>
            <w:shd w:val="clear" w:color="auto" w:fill="auto"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年金保險</w:t>
            </w: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新契約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1.25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2.48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0.93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0.99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有效契約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0.64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0.66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0.17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0.03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小計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1.23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2.22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0.87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0.89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 w:val="restart"/>
            <w:shd w:val="clear" w:color="auto" w:fill="auto"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合 計</w:t>
            </w: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新契約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0.48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0.42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0.44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0.79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highlight w:val="yellow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有效契約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1.43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0.79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0.72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0.62</w:t>
            </w:r>
          </w:p>
        </w:tc>
      </w:tr>
      <w:tr w:rsidR="0009687A" w:rsidRPr="00E37A00" w:rsidTr="00E37A00">
        <w:trPr>
          <w:trHeight w:val="20"/>
        </w:trPr>
        <w:tc>
          <w:tcPr>
            <w:tcW w:w="1116" w:type="dxa"/>
            <w:vMerge/>
            <w:vAlign w:val="center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highlight w:val="yellow"/>
              </w:rPr>
            </w:pPr>
          </w:p>
        </w:tc>
        <w:tc>
          <w:tcPr>
            <w:tcW w:w="1394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小計</w:t>
            </w:r>
          </w:p>
        </w:tc>
        <w:tc>
          <w:tcPr>
            <w:tcW w:w="1498" w:type="dxa"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1.16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0.69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0.63</w:t>
            </w:r>
          </w:p>
        </w:tc>
        <w:tc>
          <w:tcPr>
            <w:tcW w:w="1499" w:type="dxa"/>
            <w:shd w:val="clear" w:color="auto" w:fill="auto"/>
            <w:hideMark/>
          </w:tcPr>
          <w:p w:rsidR="0009687A" w:rsidRPr="00E37A00" w:rsidRDefault="0009687A" w:rsidP="0009687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E37A00">
              <w:rPr>
                <w:rFonts w:hAnsi="標楷體"/>
                <w:snapToGrid/>
                <w:sz w:val="24"/>
              </w:rPr>
              <w:t>0.68</w:t>
            </w:r>
          </w:p>
        </w:tc>
      </w:tr>
    </w:tbl>
    <w:p w:rsidR="004006D3" w:rsidRPr="004006D3" w:rsidRDefault="00320A72" w:rsidP="004006D3">
      <w:pPr>
        <w:tabs>
          <w:tab w:val="left" w:pos="1134"/>
        </w:tabs>
        <w:snapToGrid w:val="0"/>
        <w:spacing w:line="240" w:lineRule="auto"/>
        <w:ind w:leftChars="0" w:left="1216" w:hangingChars="500" w:hanging="1216"/>
        <w:rPr>
          <w:rFonts w:hAnsi="標楷體"/>
          <w:spacing w:val="-20"/>
          <w:sz w:val="24"/>
          <w:szCs w:val="22"/>
        </w:rPr>
      </w:pPr>
      <w:r w:rsidRPr="004006D3">
        <w:rPr>
          <w:rFonts w:hAnsi="標楷體"/>
          <w:sz w:val="24"/>
          <w:szCs w:val="22"/>
        </w:rPr>
        <w:t>資料來源：保險業公開資訊觀測站</w:t>
      </w:r>
      <w:r w:rsidR="004006D3" w:rsidRPr="004006D3">
        <w:rPr>
          <w:rFonts w:hAnsi="標楷體" w:hint="eastAsia"/>
          <w:sz w:val="24"/>
          <w:szCs w:val="22"/>
        </w:rPr>
        <w:t>，</w:t>
      </w:r>
      <w:r w:rsidR="004006D3" w:rsidRPr="004006D3">
        <w:rPr>
          <w:rFonts w:hAnsi="標楷體"/>
          <w:spacing w:val="-4"/>
          <w:sz w:val="24"/>
          <w:szCs w:val="22"/>
        </w:rPr>
        <w:t>https://ins-info.ib.gov.tw/customer/</w:t>
      </w:r>
      <w:r w:rsidR="004006D3" w:rsidRPr="004006D3">
        <w:rPr>
          <w:rFonts w:hAnsi="標楷體" w:hint="eastAsia"/>
          <w:spacing w:val="-4"/>
          <w:sz w:val="24"/>
          <w:szCs w:val="22"/>
        </w:rPr>
        <w:t>l</w:t>
      </w:r>
      <w:r w:rsidR="004006D3" w:rsidRPr="004006D3">
        <w:rPr>
          <w:rFonts w:hAnsi="標楷體"/>
          <w:spacing w:val="-4"/>
          <w:sz w:val="24"/>
          <w:szCs w:val="22"/>
        </w:rPr>
        <w:t>ife</w:t>
      </w:r>
    </w:p>
    <w:p w:rsidR="00EF779B" w:rsidRPr="004006D3" w:rsidRDefault="004006D3" w:rsidP="004006D3">
      <w:pPr>
        <w:snapToGrid w:val="0"/>
        <w:spacing w:line="240" w:lineRule="auto"/>
        <w:ind w:leftChars="0" w:left="0" w:firstLineChars="500" w:firstLine="1216"/>
      </w:pPr>
      <w:r w:rsidRPr="004006D3">
        <w:rPr>
          <w:rFonts w:hAnsi="標楷體"/>
          <w:sz w:val="24"/>
          <w:szCs w:val="22"/>
        </w:rPr>
        <w:t>3-1.aspx?UID=28428384(</w:t>
      </w:r>
      <w:r w:rsidRPr="004006D3">
        <w:rPr>
          <w:rFonts w:hAnsi="標楷體" w:hint="eastAsia"/>
          <w:sz w:val="24"/>
          <w:szCs w:val="22"/>
        </w:rPr>
        <w:t>最後瀏覽日：115年3月20日</w:t>
      </w:r>
      <w:r w:rsidRPr="004006D3">
        <w:rPr>
          <w:rFonts w:hAnsi="標楷體"/>
          <w:sz w:val="24"/>
          <w:szCs w:val="22"/>
        </w:rPr>
        <w:t>)</w:t>
      </w:r>
      <w:r w:rsidR="00320A72" w:rsidRPr="004006D3">
        <w:rPr>
          <w:rFonts w:hAnsi="標楷體"/>
          <w:sz w:val="24"/>
          <w:szCs w:val="22"/>
        </w:rPr>
        <w:t>。</w:t>
      </w:r>
    </w:p>
    <w:p w:rsidR="004956E9" w:rsidRPr="00041BF6" w:rsidRDefault="004956E9" w:rsidP="004956E9">
      <w:pPr>
        <w:pStyle w:val="a4"/>
        <w:ind w:left="849" w:hanging="283"/>
      </w:pPr>
      <w:r w:rsidRPr="00041BF6">
        <w:rPr>
          <w:rFonts w:hint="eastAsia"/>
        </w:rPr>
        <w:t>(二)</w:t>
      </w:r>
      <w:r w:rsidR="00041BF6" w:rsidRPr="00041BF6">
        <w:rPr>
          <w:rFonts w:hint="eastAsia"/>
        </w:rPr>
        <w:t>在外部經濟環境及國內監理政策雙重影響下，允宜持續蒐集市場資訊，加強研發符合需求之商品及優化輔銷工具</w:t>
      </w:r>
    </w:p>
    <w:p w:rsidR="004956E9" w:rsidRDefault="004956E9" w:rsidP="004956E9">
      <w:pPr>
        <w:pStyle w:val="21"/>
        <w:ind w:left="850" w:firstLine="566"/>
      </w:pPr>
      <w:r w:rsidRPr="00580A24">
        <w:rPr>
          <w:rFonts w:hint="eastAsia"/>
        </w:rPr>
        <w:t>據臺銀人壽說明其保險契約市占率</w:t>
      </w:r>
      <w:r w:rsidR="00580A24" w:rsidRPr="00580A24">
        <w:rPr>
          <w:rFonts w:hint="eastAsia"/>
        </w:rPr>
        <w:t>概呈</w:t>
      </w:r>
      <w:r w:rsidRPr="00580A24">
        <w:rPr>
          <w:rFonts w:hint="eastAsia"/>
        </w:rPr>
        <w:t>下滑</w:t>
      </w:r>
      <w:r w:rsidR="00580A24" w:rsidRPr="00580A24">
        <w:rPr>
          <w:rFonts w:hint="eastAsia"/>
        </w:rPr>
        <w:t>之</w:t>
      </w:r>
      <w:r w:rsidRPr="00580A24">
        <w:rPr>
          <w:rFonts w:hint="eastAsia"/>
        </w:rPr>
        <w:t>原因</w:t>
      </w:r>
      <w:r w:rsidR="00580A24" w:rsidRPr="00580A24">
        <w:rPr>
          <w:rFonts w:hint="eastAsia"/>
        </w:rPr>
        <w:t>，</w:t>
      </w:r>
      <w:r w:rsidRPr="00580A24">
        <w:rPr>
          <w:rFonts w:hint="eastAsia"/>
        </w:rPr>
        <w:t>主要</w:t>
      </w:r>
      <w:r w:rsidRPr="00580A24">
        <w:rPr>
          <w:rFonts w:hint="eastAsia"/>
        </w:rPr>
        <w:lastRenderedPageBreak/>
        <w:t>係受</w:t>
      </w:r>
      <w:r w:rsidR="00580A24" w:rsidRPr="00580A24">
        <w:rPr>
          <w:rFonts w:hint="eastAsia"/>
        </w:rPr>
        <w:t>外部經濟環境影響，在美元升值與利率調升下</w:t>
      </w:r>
      <w:r w:rsidRPr="00580A24">
        <w:rPr>
          <w:rFonts w:hint="eastAsia"/>
        </w:rPr>
        <w:t>，銀行業者推出短年期美元優利存款</w:t>
      </w:r>
      <w:r w:rsidR="005A5E96">
        <w:rPr>
          <w:rFonts w:hint="eastAsia"/>
        </w:rPr>
        <w:t>等</w:t>
      </w:r>
      <w:r w:rsidRPr="00580A24">
        <w:rPr>
          <w:rFonts w:hint="eastAsia"/>
        </w:rPr>
        <w:t>專案，客戶解約轉存美元</w:t>
      </w:r>
      <w:r w:rsidR="006F75F3">
        <w:rPr>
          <w:rFonts w:hint="eastAsia"/>
        </w:rPr>
        <w:t>；另配合金</w:t>
      </w:r>
      <w:r w:rsidR="00ED5A29">
        <w:rPr>
          <w:rFonts w:hint="eastAsia"/>
        </w:rPr>
        <w:t>融監督</w:t>
      </w:r>
      <w:r w:rsidR="006F75F3">
        <w:rPr>
          <w:rFonts w:hint="eastAsia"/>
        </w:rPr>
        <w:t>管</w:t>
      </w:r>
      <w:r w:rsidR="00ED5A29">
        <w:rPr>
          <w:rFonts w:hint="eastAsia"/>
        </w:rPr>
        <w:t>理委員</w:t>
      </w:r>
      <w:r w:rsidR="006F75F3">
        <w:rPr>
          <w:rFonts w:hint="eastAsia"/>
        </w:rPr>
        <w:t>會實施相關監理政策，該公司</w:t>
      </w:r>
      <w:r w:rsidRPr="00580A24">
        <w:rPr>
          <w:rFonts w:hint="eastAsia"/>
        </w:rPr>
        <w:t>調整商品結構因應，推廣之險種由儲蓄型轉向保障型，商品型態</w:t>
      </w:r>
      <w:r w:rsidR="005A5E96">
        <w:rPr>
          <w:rFonts w:hint="eastAsia"/>
        </w:rPr>
        <w:t>轉變亦有影響</w:t>
      </w:r>
      <w:r w:rsidR="006F75F3">
        <w:rPr>
          <w:rFonts w:hint="eastAsia"/>
        </w:rPr>
        <w:t>。</w:t>
      </w:r>
      <w:r w:rsidR="005A5E96">
        <w:rPr>
          <w:rFonts w:hint="eastAsia"/>
        </w:rPr>
        <w:t>是以</w:t>
      </w:r>
      <w:r w:rsidR="00580A24" w:rsidRPr="00580A24">
        <w:rPr>
          <w:rFonts w:hint="eastAsia"/>
        </w:rPr>
        <w:t>，該公司</w:t>
      </w:r>
      <w:r w:rsidRPr="00580A24">
        <w:rPr>
          <w:rFonts w:hint="eastAsia"/>
        </w:rPr>
        <w:t>將持續</w:t>
      </w:r>
      <w:r w:rsidR="00580A24" w:rsidRPr="00580A24">
        <w:rPr>
          <w:rFonts w:hint="eastAsia"/>
        </w:rPr>
        <w:t>擬定</w:t>
      </w:r>
      <w:r w:rsidRPr="00580A24">
        <w:rPr>
          <w:rFonts w:hint="eastAsia"/>
        </w:rPr>
        <w:t>強化措施，</w:t>
      </w:r>
      <w:r w:rsidR="006F75F3">
        <w:rPr>
          <w:rFonts w:hint="eastAsia"/>
        </w:rPr>
        <w:t>包括</w:t>
      </w:r>
      <w:r w:rsidRPr="00580A24">
        <w:rPr>
          <w:rFonts w:hint="eastAsia"/>
        </w:rPr>
        <w:t>積極聯繫通路，</w:t>
      </w:r>
      <w:r w:rsidR="00580A24" w:rsidRPr="00580A24">
        <w:rPr>
          <w:rFonts w:hint="eastAsia"/>
        </w:rPr>
        <w:t>優化</w:t>
      </w:r>
      <w:r w:rsidRPr="00580A24">
        <w:rPr>
          <w:rFonts w:hint="eastAsia"/>
        </w:rPr>
        <w:t>保單保全服務</w:t>
      </w:r>
      <w:r w:rsidR="005A5E96">
        <w:rPr>
          <w:rFonts w:hint="eastAsia"/>
        </w:rPr>
        <w:t>，</w:t>
      </w:r>
      <w:r w:rsidRPr="00580A24">
        <w:rPr>
          <w:rFonts w:hint="eastAsia"/>
        </w:rPr>
        <w:t>提升其他通路保費占率</w:t>
      </w:r>
      <w:r w:rsidR="005A5E96">
        <w:rPr>
          <w:rFonts w:hint="eastAsia"/>
        </w:rPr>
        <w:t>，及</w:t>
      </w:r>
      <w:r w:rsidRPr="00580A24">
        <w:rPr>
          <w:rFonts w:hint="eastAsia"/>
        </w:rPr>
        <w:t>辦理定期及不定期獎勵方案</w:t>
      </w:r>
      <w:r w:rsidR="005A5E96">
        <w:rPr>
          <w:rFonts w:hint="eastAsia"/>
        </w:rPr>
        <w:t>等</w:t>
      </w:r>
      <w:r w:rsidRPr="00580A24">
        <w:rPr>
          <w:rFonts w:hint="eastAsia"/>
        </w:rPr>
        <w:t>，以提升整體銷售量</w:t>
      </w:r>
      <w:r w:rsidR="005A5E96">
        <w:rPr>
          <w:rFonts w:hint="eastAsia"/>
        </w:rPr>
        <w:t>，並</w:t>
      </w:r>
      <w:r w:rsidRPr="00580A24">
        <w:rPr>
          <w:rFonts w:hint="eastAsia"/>
        </w:rPr>
        <w:t>持續蒐集市場及通路商品資訊，加強</w:t>
      </w:r>
      <w:r w:rsidR="005A5E96">
        <w:rPr>
          <w:rFonts w:hint="eastAsia"/>
        </w:rPr>
        <w:t>研發</w:t>
      </w:r>
      <w:r w:rsidRPr="00580A24">
        <w:rPr>
          <w:rFonts w:hint="eastAsia"/>
        </w:rPr>
        <w:t>符合需求</w:t>
      </w:r>
      <w:r w:rsidR="005A5E96">
        <w:rPr>
          <w:rFonts w:hint="eastAsia"/>
        </w:rPr>
        <w:t>之</w:t>
      </w:r>
      <w:r w:rsidRPr="00580A24">
        <w:rPr>
          <w:rFonts w:hint="eastAsia"/>
        </w:rPr>
        <w:t>商品及優化輔銷工具。</w:t>
      </w:r>
    </w:p>
    <w:p w:rsidR="00E13DDA" w:rsidRDefault="00E13DDA" w:rsidP="00EF779B">
      <w:pPr>
        <w:ind w:left="566" w:firstLine="566"/>
      </w:pPr>
      <w:r>
        <w:t>綜上，臺銀人壽保險契約市占率</w:t>
      </w:r>
      <w:r w:rsidR="006F75F3">
        <w:rPr>
          <w:rFonts w:hint="eastAsia"/>
        </w:rPr>
        <w:t>概呈下滑趨勢</w:t>
      </w:r>
      <w:r>
        <w:t>，</w:t>
      </w:r>
      <w:r w:rsidR="005A5E96">
        <w:rPr>
          <w:rFonts w:hint="eastAsia"/>
        </w:rPr>
        <w:t>該公司</w:t>
      </w:r>
      <w:r w:rsidR="005A5E96" w:rsidRPr="00580A24">
        <w:rPr>
          <w:rFonts w:hint="eastAsia"/>
        </w:rPr>
        <w:t>雖已擬定相關強化措施</w:t>
      </w:r>
      <w:r w:rsidR="005A5E96">
        <w:rPr>
          <w:rFonts w:hint="eastAsia"/>
        </w:rPr>
        <w:t>，</w:t>
      </w:r>
      <w:r w:rsidR="005A5E96" w:rsidRPr="00580A24">
        <w:rPr>
          <w:rFonts w:hint="eastAsia"/>
        </w:rPr>
        <w:t>然面對高度競爭之壽險市場，</w:t>
      </w:r>
      <w:r w:rsidR="005A5E96">
        <w:rPr>
          <w:rFonts w:hint="eastAsia"/>
        </w:rPr>
        <w:t>除</w:t>
      </w:r>
      <w:r w:rsidR="005A5E96" w:rsidRPr="00580A24">
        <w:rPr>
          <w:rFonts w:hint="eastAsia"/>
        </w:rPr>
        <w:t>通路補強</w:t>
      </w:r>
      <w:r w:rsidR="006975D6">
        <w:rPr>
          <w:rFonts w:hint="eastAsia"/>
        </w:rPr>
        <w:t>外</w:t>
      </w:r>
      <w:r>
        <w:t>，既有客群</w:t>
      </w:r>
      <w:r w:rsidR="006975D6">
        <w:rPr>
          <w:rFonts w:hint="eastAsia"/>
        </w:rPr>
        <w:t>之</w:t>
      </w:r>
      <w:r>
        <w:t>黏著度</w:t>
      </w:r>
      <w:r w:rsidR="006975D6">
        <w:rPr>
          <w:rFonts w:hint="eastAsia"/>
        </w:rPr>
        <w:t>與品牌忠誠度亦相當重要，</w:t>
      </w:r>
      <w:r w:rsidR="002323C9">
        <w:rPr>
          <w:rFonts w:hint="eastAsia"/>
        </w:rPr>
        <w:t>另</w:t>
      </w:r>
      <w:r>
        <w:t>鑑於</w:t>
      </w:r>
      <w:r w:rsidR="002323C9">
        <w:t>115</w:t>
      </w:r>
      <w:r>
        <w:t>年度接軌IFRS 17，</w:t>
      </w:r>
      <w:r w:rsidR="002323C9">
        <w:t>允宜</w:t>
      </w:r>
      <w:r w:rsidR="002323C9">
        <w:rPr>
          <w:rFonts w:hint="eastAsia"/>
        </w:rPr>
        <w:t>核實評估各</w:t>
      </w:r>
      <w:r w:rsidR="002323C9" w:rsidRPr="00580A24">
        <w:rPr>
          <w:rFonts w:hint="eastAsia"/>
        </w:rPr>
        <w:t>商品之貢獻</w:t>
      </w:r>
      <w:r w:rsidR="002323C9">
        <w:rPr>
          <w:rFonts w:hint="eastAsia"/>
        </w:rPr>
        <w:t>度</w:t>
      </w:r>
      <w:r>
        <w:t>，並積極開發</w:t>
      </w:r>
      <w:r w:rsidR="002323C9">
        <w:t>差異化</w:t>
      </w:r>
      <w:r>
        <w:t>商品，俾</w:t>
      </w:r>
      <w:r w:rsidR="002323C9">
        <w:rPr>
          <w:rFonts w:hint="eastAsia"/>
        </w:rPr>
        <w:t>提升</w:t>
      </w:r>
      <w:r w:rsidR="002323C9">
        <w:t>市場</w:t>
      </w:r>
      <w:r w:rsidR="002323C9">
        <w:rPr>
          <w:rFonts w:hint="eastAsia"/>
        </w:rPr>
        <w:t>占有率</w:t>
      </w:r>
      <w:r>
        <w:t>。</w:t>
      </w:r>
    </w:p>
    <w:p w:rsidR="00320A72" w:rsidRDefault="00320A72" w:rsidP="00320A72">
      <w:pPr>
        <w:pStyle w:val="ac"/>
        <w:ind w:left="566" w:firstLine="566"/>
        <w:rPr>
          <w:rFonts w:hAnsi="標楷體"/>
        </w:rPr>
      </w:pPr>
      <w:r w:rsidRPr="000B5578">
        <w:rPr>
          <w:rFonts w:hAnsi="標楷體"/>
        </w:rPr>
        <w:t xml:space="preserve">(分機：8656 </w:t>
      </w:r>
      <w:r w:rsidR="0040630C">
        <w:rPr>
          <w:rFonts w:hAnsi="標楷體" w:hint="eastAsia"/>
        </w:rPr>
        <w:t>劉忠豪</w:t>
      </w:r>
      <w:r w:rsidRPr="000B5578">
        <w:rPr>
          <w:rFonts w:hAnsi="標楷體"/>
        </w:rPr>
        <w:t>)</w:t>
      </w:r>
      <w:bookmarkStart w:id="3" w:name="_GoBack"/>
      <w:bookmarkEnd w:id="3"/>
    </w:p>
    <w:bookmarkEnd w:id="1"/>
    <w:sectPr w:rsidR="00320A72" w:rsidSect="006B1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6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D54" w:rsidRDefault="00714D54" w:rsidP="00B50BB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4D54" w:rsidRDefault="00714D54" w:rsidP="00B50BB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6B1D36">
    <w:pPr>
      <w:pStyle w:val="af1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C23C0A" w:rsidRPr="00C23C0A">
      <w:rPr>
        <w:noProof/>
        <w:lang w:val="zh-TW"/>
      </w:rPr>
      <w:t>3</w:t>
    </w:r>
    <w:r>
      <w:fldChar w:fldCharType="end"/>
    </w:r>
  </w:p>
  <w:p w:rsidR="0009687A" w:rsidRDefault="0009687A" w:rsidP="000421DE">
    <w:pPr>
      <w:pStyle w:val="af1"/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D54" w:rsidRDefault="00714D54" w:rsidP="002332A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4D54" w:rsidRDefault="00714D54" w:rsidP="00B50BB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B50BB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87A" w:rsidRDefault="0009687A" w:rsidP="002F70EC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14CF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D5CD80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7210511C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59ACAAE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D12DE5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10A279E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87AB5A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C880A78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71CFE9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A8A67C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8B3846"/>
    <w:multiLevelType w:val="hybridMultilevel"/>
    <w:tmpl w:val="7804ACB2"/>
    <w:lvl w:ilvl="0" w:tplc="B0761D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0CC210D6"/>
    <w:multiLevelType w:val="hybridMultilevel"/>
    <w:tmpl w:val="CC7C4048"/>
    <w:lvl w:ilvl="0" w:tplc="C8309564">
      <w:start w:val="1"/>
      <w:numFmt w:val="decimal"/>
      <w:lvlText w:val="(%1）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2" w15:restartNumberingAfterBreak="0">
    <w:nsid w:val="0FE1660A"/>
    <w:multiLevelType w:val="hybridMultilevel"/>
    <w:tmpl w:val="8222F406"/>
    <w:lvl w:ilvl="0" w:tplc="036215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43654"/>
    <w:multiLevelType w:val="hybridMultilevel"/>
    <w:tmpl w:val="3DAEB6AC"/>
    <w:lvl w:ilvl="0" w:tplc="2D00AE38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18E950BD"/>
    <w:multiLevelType w:val="hybridMultilevel"/>
    <w:tmpl w:val="4BFEB15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5" w15:restartNumberingAfterBreak="0">
    <w:nsid w:val="1EF566A9"/>
    <w:multiLevelType w:val="hybridMultilevel"/>
    <w:tmpl w:val="432C7C20"/>
    <w:lvl w:ilvl="0" w:tplc="45B6E8B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209350CF"/>
    <w:multiLevelType w:val="hybridMultilevel"/>
    <w:tmpl w:val="C184755E"/>
    <w:lvl w:ilvl="0" w:tplc="3634EC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827F1"/>
    <w:multiLevelType w:val="hybridMultilevel"/>
    <w:tmpl w:val="3DC64580"/>
    <w:lvl w:ilvl="0" w:tplc="F73EAB9E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 w15:restartNumberingAfterBreak="0">
    <w:nsid w:val="3B986C4D"/>
    <w:multiLevelType w:val="hybridMultilevel"/>
    <w:tmpl w:val="BAA270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4979A8"/>
    <w:multiLevelType w:val="hybridMultilevel"/>
    <w:tmpl w:val="640A6006"/>
    <w:lvl w:ilvl="0" w:tplc="063A4A1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5F3268B4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8A7C65"/>
    <w:multiLevelType w:val="hybridMultilevel"/>
    <w:tmpl w:val="1F8470D4"/>
    <w:lvl w:ilvl="0" w:tplc="A2926A6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1" w15:restartNumberingAfterBreak="0">
    <w:nsid w:val="56B0725B"/>
    <w:multiLevelType w:val="hybridMultilevel"/>
    <w:tmpl w:val="EAA69806"/>
    <w:lvl w:ilvl="0" w:tplc="156064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5832492C"/>
    <w:multiLevelType w:val="hybridMultilevel"/>
    <w:tmpl w:val="CC54545C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6B55C6"/>
    <w:multiLevelType w:val="hybridMultilevel"/>
    <w:tmpl w:val="D12C3266"/>
    <w:lvl w:ilvl="0" w:tplc="EA2400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E3A1932"/>
    <w:multiLevelType w:val="hybridMultilevel"/>
    <w:tmpl w:val="1DA8F762"/>
    <w:lvl w:ilvl="0" w:tplc="04090001">
      <w:start w:val="1"/>
      <w:numFmt w:val="bullet"/>
      <w:lvlText w:val=""/>
      <w:lvlJc w:val="left"/>
      <w:pPr>
        <w:ind w:left="9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5" w15:restartNumberingAfterBreak="0">
    <w:nsid w:val="6B9C0A41"/>
    <w:multiLevelType w:val="hybridMultilevel"/>
    <w:tmpl w:val="81D89C38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B60CAB"/>
    <w:multiLevelType w:val="hybridMultilevel"/>
    <w:tmpl w:val="E5BA9998"/>
    <w:lvl w:ilvl="0" w:tplc="A33CD8C0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20"/>
  </w:num>
  <w:num w:numId="13">
    <w:abstractNumId w:val="26"/>
  </w:num>
  <w:num w:numId="14">
    <w:abstractNumId w:val="12"/>
  </w:num>
  <w:num w:numId="15">
    <w:abstractNumId w:val="23"/>
  </w:num>
  <w:num w:numId="16">
    <w:abstractNumId w:val="21"/>
  </w:num>
  <w:num w:numId="17">
    <w:abstractNumId w:val="14"/>
  </w:num>
  <w:num w:numId="18">
    <w:abstractNumId w:val="11"/>
  </w:num>
  <w:num w:numId="19">
    <w:abstractNumId w:val="10"/>
  </w:num>
  <w:num w:numId="20">
    <w:abstractNumId w:val="24"/>
  </w:num>
  <w:num w:numId="21">
    <w:abstractNumId w:val="25"/>
  </w:num>
  <w:num w:numId="22">
    <w:abstractNumId w:val="18"/>
  </w:num>
  <w:num w:numId="23">
    <w:abstractNumId w:val="22"/>
  </w:num>
  <w:num w:numId="24">
    <w:abstractNumId w:val="19"/>
  </w:num>
  <w:num w:numId="25">
    <w:abstractNumId w:val="15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B04" w:allStyles="0" w:customStyles="0" w:latentStyles="1" w:stylesInUse="0" w:headingStyles="0" w:numberingStyles="0" w:tableStyles="0" w:directFormattingOnRuns="1" w:directFormattingOnParagraphs="1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6BA6"/>
    <w:rsid w:val="00000C3C"/>
    <w:rsid w:val="0000397A"/>
    <w:rsid w:val="000049CF"/>
    <w:rsid w:val="00005295"/>
    <w:rsid w:val="00007502"/>
    <w:rsid w:val="00007AAC"/>
    <w:rsid w:val="0001216A"/>
    <w:rsid w:val="000126DD"/>
    <w:rsid w:val="00013974"/>
    <w:rsid w:val="00014E2D"/>
    <w:rsid w:val="0001644A"/>
    <w:rsid w:val="00017740"/>
    <w:rsid w:val="00020FF2"/>
    <w:rsid w:val="00021D53"/>
    <w:rsid w:val="00022350"/>
    <w:rsid w:val="000255C2"/>
    <w:rsid w:val="00025968"/>
    <w:rsid w:val="00025CBF"/>
    <w:rsid w:val="00026694"/>
    <w:rsid w:val="00026A25"/>
    <w:rsid w:val="00033360"/>
    <w:rsid w:val="00034691"/>
    <w:rsid w:val="0003547E"/>
    <w:rsid w:val="00035F7E"/>
    <w:rsid w:val="000365E0"/>
    <w:rsid w:val="00036BA6"/>
    <w:rsid w:val="000409BD"/>
    <w:rsid w:val="00041BF6"/>
    <w:rsid w:val="000421DE"/>
    <w:rsid w:val="00043F99"/>
    <w:rsid w:val="00044E7B"/>
    <w:rsid w:val="000455B7"/>
    <w:rsid w:val="00046A6A"/>
    <w:rsid w:val="0004728A"/>
    <w:rsid w:val="00050697"/>
    <w:rsid w:val="000519AD"/>
    <w:rsid w:val="0005261C"/>
    <w:rsid w:val="00053229"/>
    <w:rsid w:val="000544EB"/>
    <w:rsid w:val="000550DC"/>
    <w:rsid w:val="00061FE0"/>
    <w:rsid w:val="00062D98"/>
    <w:rsid w:val="0007086F"/>
    <w:rsid w:val="00072CF4"/>
    <w:rsid w:val="00073AC6"/>
    <w:rsid w:val="000767B8"/>
    <w:rsid w:val="00076841"/>
    <w:rsid w:val="0008340B"/>
    <w:rsid w:val="00085240"/>
    <w:rsid w:val="000862DE"/>
    <w:rsid w:val="00093051"/>
    <w:rsid w:val="00093186"/>
    <w:rsid w:val="0009359B"/>
    <w:rsid w:val="00096303"/>
    <w:rsid w:val="0009687A"/>
    <w:rsid w:val="000975FF"/>
    <w:rsid w:val="000A21BE"/>
    <w:rsid w:val="000A3713"/>
    <w:rsid w:val="000A3F28"/>
    <w:rsid w:val="000A477D"/>
    <w:rsid w:val="000A5795"/>
    <w:rsid w:val="000B0CD6"/>
    <w:rsid w:val="000B1F17"/>
    <w:rsid w:val="000B4E73"/>
    <w:rsid w:val="000C0D73"/>
    <w:rsid w:val="000C29E7"/>
    <w:rsid w:val="000D1801"/>
    <w:rsid w:val="000D1868"/>
    <w:rsid w:val="000D2997"/>
    <w:rsid w:val="000D38F5"/>
    <w:rsid w:val="000D3E27"/>
    <w:rsid w:val="000D50A5"/>
    <w:rsid w:val="000D59E8"/>
    <w:rsid w:val="000D7D13"/>
    <w:rsid w:val="000E033E"/>
    <w:rsid w:val="000E1538"/>
    <w:rsid w:val="000E416D"/>
    <w:rsid w:val="000E5B35"/>
    <w:rsid w:val="000E6971"/>
    <w:rsid w:val="000E6C7B"/>
    <w:rsid w:val="000F016A"/>
    <w:rsid w:val="000F051B"/>
    <w:rsid w:val="000F2213"/>
    <w:rsid w:val="000F4241"/>
    <w:rsid w:val="000F57E2"/>
    <w:rsid w:val="000F5E9E"/>
    <w:rsid w:val="000F63F8"/>
    <w:rsid w:val="000F69B2"/>
    <w:rsid w:val="00100CFE"/>
    <w:rsid w:val="00101B28"/>
    <w:rsid w:val="00103AB0"/>
    <w:rsid w:val="0010672B"/>
    <w:rsid w:val="00111F37"/>
    <w:rsid w:val="00112792"/>
    <w:rsid w:val="00112876"/>
    <w:rsid w:val="0011407C"/>
    <w:rsid w:val="0011481A"/>
    <w:rsid w:val="00116414"/>
    <w:rsid w:val="0011784C"/>
    <w:rsid w:val="0012267C"/>
    <w:rsid w:val="00122E23"/>
    <w:rsid w:val="00123EF4"/>
    <w:rsid w:val="001255FE"/>
    <w:rsid w:val="00126AE1"/>
    <w:rsid w:val="0013080C"/>
    <w:rsid w:val="00133DC3"/>
    <w:rsid w:val="00135E3E"/>
    <w:rsid w:val="00135ECE"/>
    <w:rsid w:val="001360B6"/>
    <w:rsid w:val="0014012C"/>
    <w:rsid w:val="00144B0C"/>
    <w:rsid w:val="00145C9B"/>
    <w:rsid w:val="001463B5"/>
    <w:rsid w:val="00150D14"/>
    <w:rsid w:val="00155205"/>
    <w:rsid w:val="00155544"/>
    <w:rsid w:val="00156845"/>
    <w:rsid w:val="0016227A"/>
    <w:rsid w:val="00167BDF"/>
    <w:rsid w:val="00167F98"/>
    <w:rsid w:val="0017000C"/>
    <w:rsid w:val="001742E8"/>
    <w:rsid w:val="00176EC4"/>
    <w:rsid w:val="00183930"/>
    <w:rsid w:val="00184B7A"/>
    <w:rsid w:val="00185C4B"/>
    <w:rsid w:val="001860D4"/>
    <w:rsid w:val="00186A99"/>
    <w:rsid w:val="00187A03"/>
    <w:rsid w:val="0019025D"/>
    <w:rsid w:val="00190F5C"/>
    <w:rsid w:val="00193266"/>
    <w:rsid w:val="00194682"/>
    <w:rsid w:val="0019549F"/>
    <w:rsid w:val="00197E62"/>
    <w:rsid w:val="001A1C43"/>
    <w:rsid w:val="001A1F33"/>
    <w:rsid w:val="001A3C55"/>
    <w:rsid w:val="001A4764"/>
    <w:rsid w:val="001A52E8"/>
    <w:rsid w:val="001B25E5"/>
    <w:rsid w:val="001B2F73"/>
    <w:rsid w:val="001B3EAA"/>
    <w:rsid w:val="001B638E"/>
    <w:rsid w:val="001C4CE7"/>
    <w:rsid w:val="001C656A"/>
    <w:rsid w:val="001D09B2"/>
    <w:rsid w:val="001D1D92"/>
    <w:rsid w:val="001D2731"/>
    <w:rsid w:val="001D3710"/>
    <w:rsid w:val="001D5878"/>
    <w:rsid w:val="001D58D0"/>
    <w:rsid w:val="001D78C0"/>
    <w:rsid w:val="001E1173"/>
    <w:rsid w:val="001E1D57"/>
    <w:rsid w:val="001E278C"/>
    <w:rsid w:val="001E688B"/>
    <w:rsid w:val="001E6F7B"/>
    <w:rsid w:val="001F1D11"/>
    <w:rsid w:val="001F3C43"/>
    <w:rsid w:val="001F401D"/>
    <w:rsid w:val="001F458E"/>
    <w:rsid w:val="0020345D"/>
    <w:rsid w:val="002047F5"/>
    <w:rsid w:val="00204D18"/>
    <w:rsid w:val="002074F1"/>
    <w:rsid w:val="00211B93"/>
    <w:rsid w:val="00215A80"/>
    <w:rsid w:val="0021649A"/>
    <w:rsid w:val="00216A6C"/>
    <w:rsid w:val="00216A88"/>
    <w:rsid w:val="00216C6C"/>
    <w:rsid w:val="00221279"/>
    <w:rsid w:val="00221352"/>
    <w:rsid w:val="00221859"/>
    <w:rsid w:val="00221AA8"/>
    <w:rsid w:val="00221FF7"/>
    <w:rsid w:val="00223F9E"/>
    <w:rsid w:val="0022485D"/>
    <w:rsid w:val="00224CA2"/>
    <w:rsid w:val="00225BCE"/>
    <w:rsid w:val="002323C9"/>
    <w:rsid w:val="002332A8"/>
    <w:rsid w:val="002338DA"/>
    <w:rsid w:val="002348DC"/>
    <w:rsid w:val="002351AE"/>
    <w:rsid w:val="00235632"/>
    <w:rsid w:val="00236CE6"/>
    <w:rsid w:val="002402D7"/>
    <w:rsid w:val="00244FB1"/>
    <w:rsid w:val="00245F58"/>
    <w:rsid w:val="00251CE2"/>
    <w:rsid w:val="002530E0"/>
    <w:rsid w:val="00253589"/>
    <w:rsid w:val="00254C24"/>
    <w:rsid w:val="002557EC"/>
    <w:rsid w:val="0026011B"/>
    <w:rsid w:val="00262375"/>
    <w:rsid w:val="00262798"/>
    <w:rsid w:val="00265FB5"/>
    <w:rsid w:val="00267E47"/>
    <w:rsid w:val="0027208D"/>
    <w:rsid w:val="00273D24"/>
    <w:rsid w:val="002767DA"/>
    <w:rsid w:val="00276D17"/>
    <w:rsid w:val="00280366"/>
    <w:rsid w:val="002826E6"/>
    <w:rsid w:val="0028685F"/>
    <w:rsid w:val="002933D9"/>
    <w:rsid w:val="0029532B"/>
    <w:rsid w:val="00295606"/>
    <w:rsid w:val="0029767D"/>
    <w:rsid w:val="002A051A"/>
    <w:rsid w:val="002A0714"/>
    <w:rsid w:val="002A30A8"/>
    <w:rsid w:val="002A33C9"/>
    <w:rsid w:val="002A58BF"/>
    <w:rsid w:val="002A5FBC"/>
    <w:rsid w:val="002A6288"/>
    <w:rsid w:val="002A6BCF"/>
    <w:rsid w:val="002B0E0F"/>
    <w:rsid w:val="002B13B5"/>
    <w:rsid w:val="002B2044"/>
    <w:rsid w:val="002B3C80"/>
    <w:rsid w:val="002B4C40"/>
    <w:rsid w:val="002B5FAF"/>
    <w:rsid w:val="002B792B"/>
    <w:rsid w:val="002B79D5"/>
    <w:rsid w:val="002C06D8"/>
    <w:rsid w:val="002C0E6C"/>
    <w:rsid w:val="002C178B"/>
    <w:rsid w:val="002C3324"/>
    <w:rsid w:val="002C4362"/>
    <w:rsid w:val="002C444E"/>
    <w:rsid w:val="002C5B20"/>
    <w:rsid w:val="002C6B8B"/>
    <w:rsid w:val="002D0D32"/>
    <w:rsid w:val="002D1521"/>
    <w:rsid w:val="002D31DC"/>
    <w:rsid w:val="002D354F"/>
    <w:rsid w:val="002D412A"/>
    <w:rsid w:val="002D5A21"/>
    <w:rsid w:val="002D69D4"/>
    <w:rsid w:val="002E04CA"/>
    <w:rsid w:val="002E2AF7"/>
    <w:rsid w:val="002E3718"/>
    <w:rsid w:val="002E4926"/>
    <w:rsid w:val="002E5854"/>
    <w:rsid w:val="002E6471"/>
    <w:rsid w:val="002F096F"/>
    <w:rsid w:val="002F09E7"/>
    <w:rsid w:val="002F53C7"/>
    <w:rsid w:val="002F5FFA"/>
    <w:rsid w:val="002F70EC"/>
    <w:rsid w:val="00301AE5"/>
    <w:rsid w:val="00301C5C"/>
    <w:rsid w:val="00303989"/>
    <w:rsid w:val="003043CF"/>
    <w:rsid w:val="00306FC8"/>
    <w:rsid w:val="00307072"/>
    <w:rsid w:val="00311251"/>
    <w:rsid w:val="00311F1D"/>
    <w:rsid w:val="003128E8"/>
    <w:rsid w:val="00315338"/>
    <w:rsid w:val="0031767E"/>
    <w:rsid w:val="00320125"/>
    <w:rsid w:val="003201BF"/>
    <w:rsid w:val="00320A72"/>
    <w:rsid w:val="00320B05"/>
    <w:rsid w:val="00322FD3"/>
    <w:rsid w:val="0032342A"/>
    <w:rsid w:val="0032454E"/>
    <w:rsid w:val="00324E2E"/>
    <w:rsid w:val="0032536D"/>
    <w:rsid w:val="003275E7"/>
    <w:rsid w:val="00330E92"/>
    <w:rsid w:val="00334F32"/>
    <w:rsid w:val="00335D10"/>
    <w:rsid w:val="00336C59"/>
    <w:rsid w:val="00340441"/>
    <w:rsid w:val="0034063D"/>
    <w:rsid w:val="00340E22"/>
    <w:rsid w:val="0034204D"/>
    <w:rsid w:val="00345EF3"/>
    <w:rsid w:val="003501ED"/>
    <w:rsid w:val="00350876"/>
    <w:rsid w:val="00353001"/>
    <w:rsid w:val="00354EA6"/>
    <w:rsid w:val="003663C1"/>
    <w:rsid w:val="00370ACF"/>
    <w:rsid w:val="00373785"/>
    <w:rsid w:val="00373A17"/>
    <w:rsid w:val="00376663"/>
    <w:rsid w:val="003769E5"/>
    <w:rsid w:val="003826D1"/>
    <w:rsid w:val="003827CE"/>
    <w:rsid w:val="003829DE"/>
    <w:rsid w:val="00387A95"/>
    <w:rsid w:val="003904A3"/>
    <w:rsid w:val="00394277"/>
    <w:rsid w:val="00397EC3"/>
    <w:rsid w:val="003A004D"/>
    <w:rsid w:val="003A0F77"/>
    <w:rsid w:val="003A2AD7"/>
    <w:rsid w:val="003A4699"/>
    <w:rsid w:val="003A67EC"/>
    <w:rsid w:val="003A6CDD"/>
    <w:rsid w:val="003A6FFC"/>
    <w:rsid w:val="003B24FA"/>
    <w:rsid w:val="003B589A"/>
    <w:rsid w:val="003B5C7A"/>
    <w:rsid w:val="003B5FF2"/>
    <w:rsid w:val="003B6040"/>
    <w:rsid w:val="003C0B4D"/>
    <w:rsid w:val="003C1A5E"/>
    <w:rsid w:val="003C1CCB"/>
    <w:rsid w:val="003C1EFC"/>
    <w:rsid w:val="003C6B69"/>
    <w:rsid w:val="003C7961"/>
    <w:rsid w:val="003E0E8B"/>
    <w:rsid w:val="003E153F"/>
    <w:rsid w:val="003E19F4"/>
    <w:rsid w:val="003E2C39"/>
    <w:rsid w:val="003E46A8"/>
    <w:rsid w:val="003F07CD"/>
    <w:rsid w:val="003F1329"/>
    <w:rsid w:val="003F25A6"/>
    <w:rsid w:val="003F33FF"/>
    <w:rsid w:val="00400526"/>
    <w:rsid w:val="004006D3"/>
    <w:rsid w:val="0040226F"/>
    <w:rsid w:val="00402B59"/>
    <w:rsid w:val="00404881"/>
    <w:rsid w:val="00405615"/>
    <w:rsid w:val="0040630C"/>
    <w:rsid w:val="00407CE6"/>
    <w:rsid w:val="004119BB"/>
    <w:rsid w:val="004125CE"/>
    <w:rsid w:val="00413A0D"/>
    <w:rsid w:val="004143CE"/>
    <w:rsid w:val="00414F81"/>
    <w:rsid w:val="004216B0"/>
    <w:rsid w:val="00421CE3"/>
    <w:rsid w:val="00423A6A"/>
    <w:rsid w:val="00425999"/>
    <w:rsid w:val="004259D9"/>
    <w:rsid w:val="00426674"/>
    <w:rsid w:val="00426C80"/>
    <w:rsid w:val="0043430B"/>
    <w:rsid w:val="00434360"/>
    <w:rsid w:val="00434AB6"/>
    <w:rsid w:val="00434D32"/>
    <w:rsid w:val="00435EC0"/>
    <w:rsid w:val="00437B13"/>
    <w:rsid w:val="0044072B"/>
    <w:rsid w:val="00442316"/>
    <w:rsid w:val="00442684"/>
    <w:rsid w:val="0044283D"/>
    <w:rsid w:val="00444F43"/>
    <w:rsid w:val="00445AA8"/>
    <w:rsid w:val="00450717"/>
    <w:rsid w:val="004515DB"/>
    <w:rsid w:val="004531AC"/>
    <w:rsid w:val="00454285"/>
    <w:rsid w:val="0045578B"/>
    <w:rsid w:val="00456A80"/>
    <w:rsid w:val="00456F35"/>
    <w:rsid w:val="00457A2D"/>
    <w:rsid w:val="00457BA8"/>
    <w:rsid w:val="00463E25"/>
    <w:rsid w:val="0046467D"/>
    <w:rsid w:val="00464982"/>
    <w:rsid w:val="0046612C"/>
    <w:rsid w:val="00466B7E"/>
    <w:rsid w:val="004743D7"/>
    <w:rsid w:val="00474B24"/>
    <w:rsid w:val="00474C99"/>
    <w:rsid w:val="00480B2D"/>
    <w:rsid w:val="00480E19"/>
    <w:rsid w:val="004810FF"/>
    <w:rsid w:val="004830C6"/>
    <w:rsid w:val="004832A1"/>
    <w:rsid w:val="004850E0"/>
    <w:rsid w:val="004860DC"/>
    <w:rsid w:val="00486465"/>
    <w:rsid w:val="00486644"/>
    <w:rsid w:val="0048709A"/>
    <w:rsid w:val="0049107D"/>
    <w:rsid w:val="0049504F"/>
    <w:rsid w:val="0049532E"/>
    <w:rsid w:val="004955AD"/>
    <w:rsid w:val="004956E9"/>
    <w:rsid w:val="004A1F9D"/>
    <w:rsid w:val="004A4C17"/>
    <w:rsid w:val="004A6B7E"/>
    <w:rsid w:val="004A7ED3"/>
    <w:rsid w:val="004B06D2"/>
    <w:rsid w:val="004B3014"/>
    <w:rsid w:val="004B5684"/>
    <w:rsid w:val="004B6D40"/>
    <w:rsid w:val="004C0839"/>
    <w:rsid w:val="004C0D23"/>
    <w:rsid w:val="004C3C97"/>
    <w:rsid w:val="004C537C"/>
    <w:rsid w:val="004C53C9"/>
    <w:rsid w:val="004D09E5"/>
    <w:rsid w:val="004D0D03"/>
    <w:rsid w:val="004D118B"/>
    <w:rsid w:val="004D218F"/>
    <w:rsid w:val="004D2193"/>
    <w:rsid w:val="004D4FC5"/>
    <w:rsid w:val="004D56D5"/>
    <w:rsid w:val="004D6697"/>
    <w:rsid w:val="004D7138"/>
    <w:rsid w:val="004E00E9"/>
    <w:rsid w:val="004E19DD"/>
    <w:rsid w:val="004E5163"/>
    <w:rsid w:val="004E699D"/>
    <w:rsid w:val="004E7316"/>
    <w:rsid w:val="004F0577"/>
    <w:rsid w:val="004F1823"/>
    <w:rsid w:val="004F35B6"/>
    <w:rsid w:val="004F386A"/>
    <w:rsid w:val="004F78B9"/>
    <w:rsid w:val="005003D5"/>
    <w:rsid w:val="00501642"/>
    <w:rsid w:val="00501945"/>
    <w:rsid w:val="00502617"/>
    <w:rsid w:val="00504AA9"/>
    <w:rsid w:val="00511267"/>
    <w:rsid w:val="00512802"/>
    <w:rsid w:val="00512BBB"/>
    <w:rsid w:val="00514A59"/>
    <w:rsid w:val="00516552"/>
    <w:rsid w:val="00520613"/>
    <w:rsid w:val="0052073F"/>
    <w:rsid w:val="005218EF"/>
    <w:rsid w:val="00521F0B"/>
    <w:rsid w:val="00524D0A"/>
    <w:rsid w:val="00524F8B"/>
    <w:rsid w:val="00532C60"/>
    <w:rsid w:val="0053345A"/>
    <w:rsid w:val="00533756"/>
    <w:rsid w:val="00534E30"/>
    <w:rsid w:val="0053544E"/>
    <w:rsid w:val="0053619B"/>
    <w:rsid w:val="0053674E"/>
    <w:rsid w:val="0054003F"/>
    <w:rsid w:val="005462C9"/>
    <w:rsid w:val="00546B52"/>
    <w:rsid w:val="00551CE2"/>
    <w:rsid w:val="005540D1"/>
    <w:rsid w:val="00555942"/>
    <w:rsid w:val="00557E3E"/>
    <w:rsid w:val="00563136"/>
    <w:rsid w:val="00563575"/>
    <w:rsid w:val="0056456B"/>
    <w:rsid w:val="0056532A"/>
    <w:rsid w:val="00565518"/>
    <w:rsid w:val="005657BC"/>
    <w:rsid w:val="00565FCD"/>
    <w:rsid w:val="005673BD"/>
    <w:rsid w:val="00571FA7"/>
    <w:rsid w:val="005726CC"/>
    <w:rsid w:val="00573A8A"/>
    <w:rsid w:val="00574707"/>
    <w:rsid w:val="00574836"/>
    <w:rsid w:val="005767BA"/>
    <w:rsid w:val="00576B47"/>
    <w:rsid w:val="00580A24"/>
    <w:rsid w:val="00581633"/>
    <w:rsid w:val="00581AD6"/>
    <w:rsid w:val="00582F41"/>
    <w:rsid w:val="00583DCF"/>
    <w:rsid w:val="005846A8"/>
    <w:rsid w:val="00585FCD"/>
    <w:rsid w:val="00586539"/>
    <w:rsid w:val="00590B95"/>
    <w:rsid w:val="00592399"/>
    <w:rsid w:val="00592C81"/>
    <w:rsid w:val="00593458"/>
    <w:rsid w:val="005957CD"/>
    <w:rsid w:val="00597BE4"/>
    <w:rsid w:val="005A3E2D"/>
    <w:rsid w:val="005A5964"/>
    <w:rsid w:val="005A5E96"/>
    <w:rsid w:val="005A60B5"/>
    <w:rsid w:val="005A7D11"/>
    <w:rsid w:val="005B0804"/>
    <w:rsid w:val="005B2273"/>
    <w:rsid w:val="005B24BA"/>
    <w:rsid w:val="005B3B2E"/>
    <w:rsid w:val="005B43B3"/>
    <w:rsid w:val="005B7C46"/>
    <w:rsid w:val="005C1207"/>
    <w:rsid w:val="005C58D5"/>
    <w:rsid w:val="005C5D8A"/>
    <w:rsid w:val="005D0EC4"/>
    <w:rsid w:val="005D1C89"/>
    <w:rsid w:val="005D58E4"/>
    <w:rsid w:val="005D7A2D"/>
    <w:rsid w:val="005E032B"/>
    <w:rsid w:val="005E0623"/>
    <w:rsid w:val="005E07AB"/>
    <w:rsid w:val="005E431D"/>
    <w:rsid w:val="005E6399"/>
    <w:rsid w:val="005E7EA7"/>
    <w:rsid w:val="005F29D3"/>
    <w:rsid w:val="005F3EE1"/>
    <w:rsid w:val="005F4111"/>
    <w:rsid w:val="005F6950"/>
    <w:rsid w:val="005F7489"/>
    <w:rsid w:val="00602123"/>
    <w:rsid w:val="00602793"/>
    <w:rsid w:val="00602B5F"/>
    <w:rsid w:val="006060E3"/>
    <w:rsid w:val="0060646C"/>
    <w:rsid w:val="006072D9"/>
    <w:rsid w:val="0061171D"/>
    <w:rsid w:val="006131A3"/>
    <w:rsid w:val="0061406D"/>
    <w:rsid w:val="0061590A"/>
    <w:rsid w:val="0061790A"/>
    <w:rsid w:val="00625E4E"/>
    <w:rsid w:val="0062656A"/>
    <w:rsid w:val="00631D80"/>
    <w:rsid w:val="006330EB"/>
    <w:rsid w:val="006403FC"/>
    <w:rsid w:val="006415F9"/>
    <w:rsid w:val="006421D4"/>
    <w:rsid w:val="00642DC2"/>
    <w:rsid w:val="00643D24"/>
    <w:rsid w:val="00650739"/>
    <w:rsid w:val="006534CC"/>
    <w:rsid w:val="00655702"/>
    <w:rsid w:val="006568CF"/>
    <w:rsid w:val="00661D8D"/>
    <w:rsid w:val="00666C4B"/>
    <w:rsid w:val="00670E55"/>
    <w:rsid w:val="00671756"/>
    <w:rsid w:val="00671844"/>
    <w:rsid w:val="00671ED4"/>
    <w:rsid w:val="006743C6"/>
    <w:rsid w:val="00674DA9"/>
    <w:rsid w:val="0067686F"/>
    <w:rsid w:val="006768DB"/>
    <w:rsid w:val="00677BD9"/>
    <w:rsid w:val="00681C98"/>
    <w:rsid w:val="00683271"/>
    <w:rsid w:val="0068365E"/>
    <w:rsid w:val="0068467B"/>
    <w:rsid w:val="00684B48"/>
    <w:rsid w:val="00686988"/>
    <w:rsid w:val="0068791F"/>
    <w:rsid w:val="00694730"/>
    <w:rsid w:val="00695356"/>
    <w:rsid w:val="0069547A"/>
    <w:rsid w:val="006975D6"/>
    <w:rsid w:val="006A5C23"/>
    <w:rsid w:val="006A73C4"/>
    <w:rsid w:val="006B0E20"/>
    <w:rsid w:val="006B1D36"/>
    <w:rsid w:val="006B2DC0"/>
    <w:rsid w:val="006B3C3D"/>
    <w:rsid w:val="006B4E6E"/>
    <w:rsid w:val="006B52B8"/>
    <w:rsid w:val="006B640F"/>
    <w:rsid w:val="006C0AD8"/>
    <w:rsid w:val="006C1685"/>
    <w:rsid w:val="006C1CBE"/>
    <w:rsid w:val="006C33A4"/>
    <w:rsid w:val="006D2071"/>
    <w:rsid w:val="006D2613"/>
    <w:rsid w:val="006D3F59"/>
    <w:rsid w:val="006D4168"/>
    <w:rsid w:val="006D4D10"/>
    <w:rsid w:val="006D70DE"/>
    <w:rsid w:val="006E224A"/>
    <w:rsid w:val="006E2D13"/>
    <w:rsid w:val="006E68C6"/>
    <w:rsid w:val="006E6F12"/>
    <w:rsid w:val="006F21BE"/>
    <w:rsid w:val="006F32A0"/>
    <w:rsid w:val="006F3648"/>
    <w:rsid w:val="006F40C3"/>
    <w:rsid w:val="006F4D39"/>
    <w:rsid w:val="006F7265"/>
    <w:rsid w:val="006F75F3"/>
    <w:rsid w:val="006F7DDE"/>
    <w:rsid w:val="00700A1D"/>
    <w:rsid w:val="00701367"/>
    <w:rsid w:val="007015A1"/>
    <w:rsid w:val="0070192C"/>
    <w:rsid w:val="00707D14"/>
    <w:rsid w:val="00707DFD"/>
    <w:rsid w:val="00710E45"/>
    <w:rsid w:val="00713682"/>
    <w:rsid w:val="007138CC"/>
    <w:rsid w:val="00714D54"/>
    <w:rsid w:val="0071615B"/>
    <w:rsid w:val="00716D5F"/>
    <w:rsid w:val="00717743"/>
    <w:rsid w:val="00720AFA"/>
    <w:rsid w:val="0072176F"/>
    <w:rsid w:val="007227A8"/>
    <w:rsid w:val="00723354"/>
    <w:rsid w:val="00723DCD"/>
    <w:rsid w:val="007240FF"/>
    <w:rsid w:val="0072592C"/>
    <w:rsid w:val="00725A19"/>
    <w:rsid w:val="00726105"/>
    <w:rsid w:val="00726B24"/>
    <w:rsid w:val="00735345"/>
    <w:rsid w:val="00736651"/>
    <w:rsid w:val="00736FAC"/>
    <w:rsid w:val="00744408"/>
    <w:rsid w:val="00745056"/>
    <w:rsid w:val="00746A85"/>
    <w:rsid w:val="007475FD"/>
    <w:rsid w:val="00752AC3"/>
    <w:rsid w:val="00753126"/>
    <w:rsid w:val="00754566"/>
    <w:rsid w:val="00755183"/>
    <w:rsid w:val="00756507"/>
    <w:rsid w:val="007600F1"/>
    <w:rsid w:val="007614C3"/>
    <w:rsid w:val="00763B4B"/>
    <w:rsid w:val="00763F07"/>
    <w:rsid w:val="007648DC"/>
    <w:rsid w:val="007659B2"/>
    <w:rsid w:val="00765FFC"/>
    <w:rsid w:val="00767E5C"/>
    <w:rsid w:val="00773DA4"/>
    <w:rsid w:val="0077636D"/>
    <w:rsid w:val="0077679F"/>
    <w:rsid w:val="00776855"/>
    <w:rsid w:val="00776AFA"/>
    <w:rsid w:val="00776C39"/>
    <w:rsid w:val="00780F85"/>
    <w:rsid w:val="0078114B"/>
    <w:rsid w:val="00792B5D"/>
    <w:rsid w:val="00795E46"/>
    <w:rsid w:val="007A2DB9"/>
    <w:rsid w:val="007A2E56"/>
    <w:rsid w:val="007A320D"/>
    <w:rsid w:val="007A3EF5"/>
    <w:rsid w:val="007A445C"/>
    <w:rsid w:val="007A6031"/>
    <w:rsid w:val="007A6293"/>
    <w:rsid w:val="007A697A"/>
    <w:rsid w:val="007A6B49"/>
    <w:rsid w:val="007B2893"/>
    <w:rsid w:val="007B40BA"/>
    <w:rsid w:val="007B7E65"/>
    <w:rsid w:val="007C2B53"/>
    <w:rsid w:val="007C3673"/>
    <w:rsid w:val="007C56F7"/>
    <w:rsid w:val="007C6185"/>
    <w:rsid w:val="007C6FDB"/>
    <w:rsid w:val="007D1100"/>
    <w:rsid w:val="007D1280"/>
    <w:rsid w:val="007D20D1"/>
    <w:rsid w:val="007D225E"/>
    <w:rsid w:val="007D235D"/>
    <w:rsid w:val="007D2628"/>
    <w:rsid w:val="007D3D14"/>
    <w:rsid w:val="007D68DB"/>
    <w:rsid w:val="007D7C41"/>
    <w:rsid w:val="007F05F2"/>
    <w:rsid w:val="007F1A01"/>
    <w:rsid w:val="007F22CC"/>
    <w:rsid w:val="007F251C"/>
    <w:rsid w:val="007F255F"/>
    <w:rsid w:val="007F6CAD"/>
    <w:rsid w:val="00800963"/>
    <w:rsid w:val="00803E17"/>
    <w:rsid w:val="00805D79"/>
    <w:rsid w:val="008131F7"/>
    <w:rsid w:val="008177DE"/>
    <w:rsid w:val="0082005F"/>
    <w:rsid w:val="00822CD8"/>
    <w:rsid w:val="00824789"/>
    <w:rsid w:val="00827B19"/>
    <w:rsid w:val="00832628"/>
    <w:rsid w:val="0083710E"/>
    <w:rsid w:val="00837F37"/>
    <w:rsid w:val="0084106A"/>
    <w:rsid w:val="008423DD"/>
    <w:rsid w:val="008507BE"/>
    <w:rsid w:val="008526F3"/>
    <w:rsid w:val="008531AE"/>
    <w:rsid w:val="0085414C"/>
    <w:rsid w:val="008549DD"/>
    <w:rsid w:val="00855987"/>
    <w:rsid w:val="00855FC9"/>
    <w:rsid w:val="00856060"/>
    <w:rsid w:val="00860735"/>
    <w:rsid w:val="00863E26"/>
    <w:rsid w:val="00864ED4"/>
    <w:rsid w:val="00865384"/>
    <w:rsid w:val="008711FC"/>
    <w:rsid w:val="00873FD5"/>
    <w:rsid w:val="00876FE9"/>
    <w:rsid w:val="00877F77"/>
    <w:rsid w:val="00882046"/>
    <w:rsid w:val="008830DD"/>
    <w:rsid w:val="008834BB"/>
    <w:rsid w:val="0088431A"/>
    <w:rsid w:val="00886E6E"/>
    <w:rsid w:val="008871B5"/>
    <w:rsid w:val="00891429"/>
    <w:rsid w:val="00893842"/>
    <w:rsid w:val="00895776"/>
    <w:rsid w:val="008A00DD"/>
    <w:rsid w:val="008A15D7"/>
    <w:rsid w:val="008A223A"/>
    <w:rsid w:val="008A3CD1"/>
    <w:rsid w:val="008A435A"/>
    <w:rsid w:val="008A6325"/>
    <w:rsid w:val="008A6D3F"/>
    <w:rsid w:val="008A74CE"/>
    <w:rsid w:val="008B0B6A"/>
    <w:rsid w:val="008B177C"/>
    <w:rsid w:val="008B3167"/>
    <w:rsid w:val="008B467A"/>
    <w:rsid w:val="008B680D"/>
    <w:rsid w:val="008B6AA4"/>
    <w:rsid w:val="008B7225"/>
    <w:rsid w:val="008C060A"/>
    <w:rsid w:val="008C1E30"/>
    <w:rsid w:val="008C51A1"/>
    <w:rsid w:val="008D0C21"/>
    <w:rsid w:val="008D111B"/>
    <w:rsid w:val="008D4C07"/>
    <w:rsid w:val="008D65FD"/>
    <w:rsid w:val="008E0051"/>
    <w:rsid w:val="008E1EEB"/>
    <w:rsid w:val="008E2FA3"/>
    <w:rsid w:val="008E43B8"/>
    <w:rsid w:val="008F2DAA"/>
    <w:rsid w:val="008F5F03"/>
    <w:rsid w:val="008F6823"/>
    <w:rsid w:val="00901064"/>
    <w:rsid w:val="00902242"/>
    <w:rsid w:val="0090286D"/>
    <w:rsid w:val="00905C8A"/>
    <w:rsid w:val="0090626F"/>
    <w:rsid w:val="00906622"/>
    <w:rsid w:val="00907754"/>
    <w:rsid w:val="0091332F"/>
    <w:rsid w:val="00914488"/>
    <w:rsid w:val="00916FEF"/>
    <w:rsid w:val="00917687"/>
    <w:rsid w:val="00920973"/>
    <w:rsid w:val="00923B18"/>
    <w:rsid w:val="00925185"/>
    <w:rsid w:val="00925EAD"/>
    <w:rsid w:val="00926679"/>
    <w:rsid w:val="009271AB"/>
    <w:rsid w:val="00932AA4"/>
    <w:rsid w:val="009349F8"/>
    <w:rsid w:val="00935978"/>
    <w:rsid w:val="0094084A"/>
    <w:rsid w:val="00941307"/>
    <w:rsid w:val="0094492B"/>
    <w:rsid w:val="00944D7A"/>
    <w:rsid w:val="00945999"/>
    <w:rsid w:val="00950BFC"/>
    <w:rsid w:val="00951676"/>
    <w:rsid w:val="009529F4"/>
    <w:rsid w:val="00954A43"/>
    <w:rsid w:val="0095593F"/>
    <w:rsid w:val="00957541"/>
    <w:rsid w:val="00957773"/>
    <w:rsid w:val="009602BB"/>
    <w:rsid w:val="009653A9"/>
    <w:rsid w:val="009667EE"/>
    <w:rsid w:val="00970314"/>
    <w:rsid w:val="00972569"/>
    <w:rsid w:val="0097297B"/>
    <w:rsid w:val="00972D1F"/>
    <w:rsid w:val="00974619"/>
    <w:rsid w:val="00974F0F"/>
    <w:rsid w:val="0097695C"/>
    <w:rsid w:val="009769C4"/>
    <w:rsid w:val="009778B1"/>
    <w:rsid w:val="009779DA"/>
    <w:rsid w:val="00977CF9"/>
    <w:rsid w:val="0098052E"/>
    <w:rsid w:val="0098080E"/>
    <w:rsid w:val="00982FC3"/>
    <w:rsid w:val="00983E1E"/>
    <w:rsid w:val="00985202"/>
    <w:rsid w:val="009860C9"/>
    <w:rsid w:val="00990A5D"/>
    <w:rsid w:val="00990FD2"/>
    <w:rsid w:val="00992EBF"/>
    <w:rsid w:val="009957A8"/>
    <w:rsid w:val="009A0C1C"/>
    <w:rsid w:val="009A5C2E"/>
    <w:rsid w:val="009A5DE7"/>
    <w:rsid w:val="009A60F2"/>
    <w:rsid w:val="009B0AA3"/>
    <w:rsid w:val="009B112D"/>
    <w:rsid w:val="009B38A2"/>
    <w:rsid w:val="009B588C"/>
    <w:rsid w:val="009B5EB7"/>
    <w:rsid w:val="009B5FF2"/>
    <w:rsid w:val="009B60CD"/>
    <w:rsid w:val="009B6597"/>
    <w:rsid w:val="009B7C55"/>
    <w:rsid w:val="009C37D6"/>
    <w:rsid w:val="009C5188"/>
    <w:rsid w:val="009C5AAC"/>
    <w:rsid w:val="009D388F"/>
    <w:rsid w:val="009D5AC3"/>
    <w:rsid w:val="009D6A09"/>
    <w:rsid w:val="009D743D"/>
    <w:rsid w:val="009E4054"/>
    <w:rsid w:val="009E4B3F"/>
    <w:rsid w:val="00A025D4"/>
    <w:rsid w:val="00A046A0"/>
    <w:rsid w:val="00A05009"/>
    <w:rsid w:val="00A057FF"/>
    <w:rsid w:val="00A068DB"/>
    <w:rsid w:val="00A07CB1"/>
    <w:rsid w:val="00A106B2"/>
    <w:rsid w:val="00A15059"/>
    <w:rsid w:val="00A1663A"/>
    <w:rsid w:val="00A20F0F"/>
    <w:rsid w:val="00A24E39"/>
    <w:rsid w:val="00A26B49"/>
    <w:rsid w:val="00A27404"/>
    <w:rsid w:val="00A31C1B"/>
    <w:rsid w:val="00A3637D"/>
    <w:rsid w:val="00A4027E"/>
    <w:rsid w:val="00A43F37"/>
    <w:rsid w:val="00A46652"/>
    <w:rsid w:val="00A47113"/>
    <w:rsid w:val="00A51743"/>
    <w:rsid w:val="00A536BF"/>
    <w:rsid w:val="00A57D5B"/>
    <w:rsid w:val="00A61F89"/>
    <w:rsid w:val="00A63437"/>
    <w:rsid w:val="00A65CE1"/>
    <w:rsid w:val="00A67ECC"/>
    <w:rsid w:val="00A701A4"/>
    <w:rsid w:val="00A715E5"/>
    <w:rsid w:val="00A718BB"/>
    <w:rsid w:val="00A747DA"/>
    <w:rsid w:val="00A748B3"/>
    <w:rsid w:val="00A808D2"/>
    <w:rsid w:val="00A820A7"/>
    <w:rsid w:val="00A83FCD"/>
    <w:rsid w:val="00A8557A"/>
    <w:rsid w:val="00A85BB3"/>
    <w:rsid w:val="00A87B1E"/>
    <w:rsid w:val="00A908DE"/>
    <w:rsid w:val="00A960B8"/>
    <w:rsid w:val="00A976A4"/>
    <w:rsid w:val="00AA3CAF"/>
    <w:rsid w:val="00AA4840"/>
    <w:rsid w:val="00AA6914"/>
    <w:rsid w:val="00AA7732"/>
    <w:rsid w:val="00AB00EB"/>
    <w:rsid w:val="00AB1167"/>
    <w:rsid w:val="00AB3527"/>
    <w:rsid w:val="00AB4846"/>
    <w:rsid w:val="00AB5D5F"/>
    <w:rsid w:val="00AB6BFE"/>
    <w:rsid w:val="00AC18E4"/>
    <w:rsid w:val="00AC2E8D"/>
    <w:rsid w:val="00AC4CB6"/>
    <w:rsid w:val="00AC4E53"/>
    <w:rsid w:val="00AC5FBC"/>
    <w:rsid w:val="00AC6D06"/>
    <w:rsid w:val="00AC7B32"/>
    <w:rsid w:val="00AC7B4F"/>
    <w:rsid w:val="00AD1AC7"/>
    <w:rsid w:val="00AD1E8F"/>
    <w:rsid w:val="00AD59A3"/>
    <w:rsid w:val="00AD5FA2"/>
    <w:rsid w:val="00AD63A9"/>
    <w:rsid w:val="00AD6C75"/>
    <w:rsid w:val="00AE4FF1"/>
    <w:rsid w:val="00AE5102"/>
    <w:rsid w:val="00AE56EB"/>
    <w:rsid w:val="00AE617C"/>
    <w:rsid w:val="00AE68EC"/>
    <w:rsid w:val="00AF0ED7"/>
    <w:rsid w:val="00AF2C14"/>
    <w:rsid w:val="00AF3D86"/>
    <w:rsid w:val="00B00573"/>
    <w:rsid w:val="00B00AF8"/>
    <w:rsid w:val="00B015CA"/>
    <w:rsid w:val="00B022CC"/>
    <w:rsid w:val="00B12DA2"/>
    <w:rsid w:val="00B1694E"/>
    <w:rsid w:val="00B16D87"/>
    <w:rsid w:val="00B17A1C"/>
    <w:rsid w:val="00B17C29"/>
    <w:rsid w:val="00B20C0E"/>
    <w:rsid w:val="00B23FF7"/>
    <w:rsid w:val="00B250AB"/>
    <w:rsid w:val="00B25274"/>
    <w:rsid w:val="00B27AE6"/>
    <w:rsid w:val="00B3167D"/>
    <w:rsid w:val="00B32CEF"/>
    <w:rsid w:val="00B337B4"/>
    <w:rsid w:val="00B345D9"/>
    <w:rsid w:val="00B372DF"/>
    <w:rsid w:val="00B41D58"/>
    <w:rsid w:val="00B43306"/>
    <w:rsid w:val="00B433E9"/>
    <w:rsid w:val="00B44CDE"/>
    <w:rsid w:val="00B46BBE"/>
    <w:rsid w:val="00B46C26"/>
    <w:rsid w:val="00B47348"/>
    <w:rsid w:val="00B50BB8"/>
    <w:rsid w:val="00B52E05"/>
    <w:rsid w:val="00B53D6D"/>
    <w:rsid w:val="00B560B2"/>
    <w:rsid w:val="00B569EA"/>
    <w:rsid w:val="00B6182F"/>
    <w:rsid w:val="00B6381C"/>
    <w:rsid w:val="00B71250"/>
    <w:rsid w:val="00B7127E"/>
    <w:rsid w:val="00B735E1"/>
    <w:rsid w:val="00B76C0F"/>
    <w:rsid w:val="00B84004"/>
    <w:rsid w:val="00B84528"/>
    <w:rsid w:val="00B87982"/>
    <w:rsid w:val="00B93889"/>
    <w:rsid w:val="00B95C5C"/>
    <w:rsid w:val="00B97CDD"/>
    <w:rsid w:val="00BA2104"/>
    <w:rsid w:val="00BA6877"/>
    <w:rsid w:val="00BB69EB"/>
    <w:rsid w:val="00BB6F3A"/>
    <w:rsid w:val="00BB7206"/>
    <w:rsid w:val="00BB7972"/>
    <w:rsid w:val="00BC1AD5"/>
    <w:rsid w:val="00BC28C1"/>
    <w:rsid w:val="00BC417C"/>
    <w:rsid w:val="00BC44DD"/>
    <w:rsid w:val="00BC4BE4"/>
    <w:rsid w:val="00BD27EF"/>
    <w:rsid w:val="00BD2E68"/>
    <w:rsid w:val="00BD4621"/>
    <w:rsid w:val="00BD70B1"/>
    <w:rsid w:val="00BE0C95"/>
    <w:rsid w:val="00BE0E65"/>
    <w:rsid w:val="00BE2A77"/>
    <w:rsid w:val="00BE32B1"/>
    <w:rsid w:val="00BE3D9E"/>
    <w:rsid w:val="00BE4FF8"/>
    <w:rsid w:val="00BE563C"/>
    <w:rsid w:val="00BE77FD"/>
    <w:rsid w:val="00BF0482"/>
    <w:rsid w:val="00BF2B91"/>
    <w:rsid w:val="00BF2F7E"/>
    <w:rsid w:val="00BF79F4"/>
    <w:rsid w:val="00BF7D0B"/>
    <w:rsid w:val="00C015DD"/>
    <w:rsid w:val="00C04174"/>
    <w:rsid w:val="00C057F8"/>
    <w:rsid w:val="00C06411"/>
    <w:rsid w:val="00C0798C"/>
    <w:rsid w:val="00C07B23"/>
    <w:rsid w:val="00C145B3"/>
    <w:rsid w:val="00C15BCF"/>
    <w:rsid w:val="00C15CB8"/>
    <w:rsid w:val="00C1659C"/>
    <w:rsid w:val="00C17666"/>
    <w:rsid w:val="00C178C4"/>
    <w:rsid w:val="00C222C4"/>
    <w:rsid w:val="00C22643"/>
    <w:rsid w:val="00C23C0A"/>
    <w:rsid w:val="00C23E15"/>
    <w:rsid w:val="00C26F03"/>
    <w:rsid w:val="00C30E65"/>
    <w:rsid w:val="00C369F4"/>
    <w:rsid w:val="00C37E31"/>
    <w:rsid w:val="00C46296"/>
    <w:rsid w:val="00C46CE6"/>
    <w:rsid w:val="00C475DB"/>
    <w:rsid w:val="00C47C2C"/>
    <w:rsid w:val="00C50841"/>
    <w:rsid w:val="00C517BB"/>
    <w:rsid w:val="00C55885"/>
    <w:rsid w:val="00C60338"/>
    <w:rsid w:val="00C60806"/>
    <w:rsid w:val="00C608AE"/>
    <w:rsid w:val="00C62045"/>
    <w:rsid w:val="00C64172"/>
    <w:rsid w:val="00C67689"/>
    <w:rsid w:val="00C738C7"/>
    <w:rsid w:val="00C75EB6"/>
    <w:rsid w:val="00C769F5"/>
    <w:rsid w:val="00C8099E"/>
    <w:rsid w:val="00C81304"/>
    <w:rsid w:val="00C82799"/>
    <w:rsid w:val="00C846E1"/>
    <w:rsid w:val="00C848A9"/>
    <w:rsid w:val="00C90749"/>
    <w:rsid w:val="00C91A7D"/>
    <w:rsid w:val="00C92347"/>
    <w:rsid w:val="00C95CAF"/>
    <w:rsid w:val="00CA040C"/>
    <w:rsid w:val="00CA3288"/>
    <w:rsid w:val="00CA585B"/>
    <w:rsid w:val="00CA6193"/>
    <w:rsid w:val="00CA7F04"/>
    <w:rsid w:val="00CB2908"/>
    <w:rsid w:val="00CB2C8C"/>
    <w:rsid w:val="00CB468C"/>
    <w:rsid w:val="00CB6C3F"/>
    <w:rsid w:val="00CC1A58"/>
    <w:rsid w:val="00CC1D1B"/>
    <w:rsid w:val="00CC2BB9"/>
    <w:rsid w:val="00CC38C9"/>
    <w:rsid w:val="00CC404D"/>
    <w:rsid w:val="00CC443D"/>
    <w:rsid w:val="00CC4E33"/>
    <w:rsid w:val="00CC50C6"/>
    <w:rsid w:val="00CC5A82"/>
    <w:rsid w:val="00CC5E34"/>
    <w:rsid w:val="00CD14F5"/>
    <w:rsid w:val="00CD1CF5"/>
    <w:rsid w:val="00CD1FC3"/>
    <w:rsid w:val="00CD255E"/>
    <w:rsid w:val="00CD2786"/>
    <w:rsid w:val="00CE2072"/>
    <w:rsid w:val="00CE3D63"/>
    <w:rsid w:val="00CF0FCB"/>
    <w:rsid w:val="00CF0FDF"/>
    <w:rsid w:val="00CF1E5B"/>
    <w:rsid w:val="00CF1E86"/>
    <w:rsid w:val="00CF3C81"/>
    <w:rsid w:val="00CF44EE"/>
    <w:rsid w:val="00CF60AE"/>
    <w:rsid w:val="00CF6159"/>
    <w:rsid w:val="00CF6571"/>
    <w:rsid w:val="00CF708B"/>
    <w:rsid w:val="00CF72FC"/>
    <w:rsid w:val="00CF73A4"/>
    <w:rsid w:val="00D00222"/>
    <w:rsid w:val="00D0071E"/>
    <w:rsid w:val="00D00AB2"/>
    <w:rsid w:val="00D020F8"/>
    <w:rsid w:val="00D0254C"/>
    <w:rsid w:val="00D03A61"/>
    <w:rsid w:val="00D04DD8"/>
    <w:rsid w:val="00D05098"/>
    <w:rsid w:val="00D1364A"/>
    <w:rsid w:val="00D147EA"/>
    <w:rsid w:val="00D219F2"/>
    <w:rsid w:val="00D2460D"/>
    <w:rsid w:val="00D2601C"/>
    <w:rsid w:val="00D27E33"/>
    <w:rsid w:val="00D31091"/>
    <w:rsid w:val="00D31B09"/>
    <w:rsid w:val="00D34B19"/>
    <w:rsid w:val="00D41D84"/>
    <w:rsid w:val="00D42278"/>
    <w:rsid w:val="00D43337"/>
    <w:rsid w:val="00D4527D"/>
    <w:rsid w:val="00D46279"/>
    <w:rsid w:val="00D466B7"/>
    <w:rsid w:val="00D47614"/>
    <w:rsid w:val="00D52DDF"/>
    <w:rsid w:val="00D54A22"/>
    <w:rsid w:val="00D5659C"/>
    <w:rsid w:val="00D56DE0"/>
    <w:rsid w:val="00D62F66"/>
    <w:rsid w:val="00D63681"/>
    <w:rsid w:val="00D70163"/>
    <w:rsid w:val="00D70747"/>
    <w:rsid w:val="00D71573"/>
    <w:rsid w:val="00D71B2D"/>
    <w:rsid w:val="00D76EE4"/>
    <w:rsid w:val="00D7739D"/>
    <w:rsid w:val="00D83B9C"/>
    <w:rsid w:val="00D853D9"/>
    <w:rsid w:val="00D8668A"/>
    <w:rsid w:val="00D87EB3"/>
    <w:rsid w:val="00D90C2B"/>
    <w:rsid w:val="00D93A83"/>
    <w:rsid w:val="00D93DBB"/>
    <w:rsid w:val="00D95C75"/>
    <w:rsid w:val="00DA2ACD"/>
    <w:rsid w:val="00DA5B2A"/>
    <w:rsid w:val="00DA5DFA"/>
    <w:rsid w:val="00DB1008"/>
    <w:rsid w:val="00DB2165"/>
    <w:rsid w:val="00DB409A"/>
    <w:rsid w:val="00DB44A5"/>
    <w:rsid w:val="00DB5C10"/>
    <w:rsid w:val="00DB66FF"/>
    <w:rsid w:val="00DB6995"/>
    <w:rsid w:val="00DB78E9"/>
    <w:rsid w:val="00DC06B5"/>
    <w:rsid w:val="00DC22F3"/>
    <w:rsid w:val="00DC2981"/>
    <w:rsid w:val="00DC3B58"/>
    <w:rsid w:val="00DC6CA9"/>
    <w:rsid w:val="00DC6DFC"/>
    <w:rsid w:val="00DD09B7"/>
    <w:rsid w:val="00DD0DB9"/>
    <w:rsid w:val="00DD1015"/>
    <w:rsid w:val="00DD15BB"/>
    <w:rsid w:val="00DD5519"/>
    <w:rsid w:val="00DD5890"/>
    <w:rsid w:val="00DD63B9"/>
    <w:rsid w:val="00DD6A26"/>
    <w:rsid w:val="00DE000E"/>
    <w:rsid w:val="00DE53D2"/>
    <w:rsid w:val="00DF0348"/>
    <w:rsid w:val="00DF1C3E"/>
    <w:rsid w:val="00DF56E4"/>
    <w:rsid w:val="00DF61D3"/>
    <w:rsid w:val="00DF71B9"/>
    <w:rsid w:val="00DF73BA"/>
    <w:rsid w:val="00E007B9"/>
    <w:rsid w:val="00E066B7"/>
    <w:rsid w:val="00E1113D"/>
    <w:rsid w:val="00E134AC"/>
    <w:rsid w:val="00E134D1"/>
    <w:rsid w:val="00E13DDA"/>
    <w:rsid w:val="00E2568B"/>
    <w:rsid w:val="00E31BAC"/>
    <w:rsid w:val="00E325C5"/>
    <w:rsid w:val="00E33CC1"/>
    <w:rsid w:val="00E354B1"/>
    <w:rsid w:val="00E35BAA"/>
    <w:rsid w:val="00E35CD6"/>
    <w:rsid w:val="00E35E8C"/>
    <w:rsid w:val="00E36A6B"/>
    <w:rsid w:val="00E37493"/>
    <w:rsid w:val="00E37A00"/>
    <w:rsid w:val="00E37E2B"/>
    <w:rsid w:val="00E40252"/>
    <w:rsid w:val="00E4118D"/>
    <w:rsid w:val="00E44CE8"/>
    <w:rsid w:val="00E45044"/>
    <w:rsid w:val="00E47724"/>
    <w:rsid w:val="00E47908"/>
    <w:rsid w:val="00E51FA6"/>
    <w:rsid w:val="00E54227"/>
    <w:rsid w:val="00E54E93"/>
    <w:rsid w:val="00E558C9"/>
    <w:rsid w:val="00E55AC9"/>
    <w:rsid w:val="00E55E0B"/>
    <w:rsid w:val="00E56663"/>
    <w:rsid w:val="00E567B4"/>
    <w:rsid w:val="00E5759B"/>
    <w:rsid w:val="00E60A66"/>
    <w:rsid w:val="00E60D7F"/>
    <w:rsid w:val="00E61DCF"/>
    <w:rsid w:val="00E62719"/>
    <w:rsid w:val="00E63A72"/>
    <w:rsid w:val="00E64708"/>
    <w:rsid w:val="00E67C83"/>
    <w:rsid w:val="00E67EB6"/>
    <w:rsid w:val="00E70587"/>
    <w:rsid w:val="00E70764"/>
    <w:rsid w:val="00E71B7E"/>
    <w:rsid w:val="00E734F8"/>
    <w:rsid w:val="00E8032E"/>
    <w:rsid w:val="00E81572"/>
    <w:rsid w:val="00E85A06"/>
    <w:rsid w:val="00E908C8"/>
    <w:rsid w:val="00E9235E"/>
    <w:rsid w:val="00E92446"/>
    <w:rsid w:val="00E94246"/>
    <w:rsid w:val="00E96C1A"/>
    <w:rsid w:val="00EA0A52"/>
    <w:rsid w:val="00EA27B1"/>
    <w:rsid w:val="00EA362B"/>
    <w:rsid w:val="00EA3C14"/>
    <w:rsid w:val="00EA7D31"/>
    <w:rsid w:val="00EB036B"/>
    <w:rsid w:val="00EB1F46"/>
    <w:rsid w:val="00EB3C0C"/>
    <w:rsid w:val="00EB6068"/>
    <w:rsid w:val="00EC0E77"/>
    <w:rsid w:val="00EC17C2"/>
    <w:rsid w:val="00EC5C8E"/>
    <w:rsid w:val="00ED011D"/>
    <w:rsid w:val="00ED0586"/>
    <w:rsid w:val="00ED3881"/>
    <w:rsid w:val="00ED4CD6"/>
    <w:rsid w:val="00ED5A29"/>
    <w:rsid w:val="00ED5AAC"/>
    <w:rsid w:val="00ED5B72"/>
    <w:rsid w:val="00EE11BD"/>
    <w:rsid w:val="00EE206B"/>
    <w:rsid w:val="00EE2969"/>
    <w:rsid w:val="00EE6AF4"/>
    <w:rsid w:val="00EF09F6"/>
    <w:rsid w:val="00EF170C"/>
    <w:rsid w:val="00EF6083"/>
    <w:rsid w:val="00EF779B"/>
    <w:rsid w:val="00F00DCA"/>
    <w:rsid w:val="00F01DED"/>
    <w:rsid w:val="00F01FBC"/>
    <w:rsid w:val="00F0245A"/>
    <w:rsid w:val="00F02BD9"/>
    <w:rsid w:val="00F053D4"/>
    <w:rsid w:val="00F06F8C"/>
    <w:rsid w:val="00F10B78"/>
    <w:rsid w:val="00F12FCE"/>
    <w:rsid w:val="00F15639"/>
    <w:rsid w:val="00F15A26"/>
    <w:rsid w:val="00F16108"/>
    <w:rsid w:val="00F17048"/>
    <w:rsid w:val="00F2015A"/>
    <w:rsid w:val="00F217E5"/>
    <w:rsid w:val="00F2259D"/>
    <w:rsid w:val="00F22DD8"/>
    <w:rsid w:val="00F2393F"/>
    <w:rsid w:val="00F24D67"/>
    <w:rsid w:val="00F26A1E"/>
    <w:rsid w:val="00F30397"/>
    <w:rsid w:val="00F322D3"/>
    <w:rsid w:val="00F33BDC"/>
    <w:rsid w:val="00F34167"/>
    <w:rsid w:val="00F34D11"/>
    <w:rsid w:val="00F35326"/>
    <w:rsid w:val="00F44E3A"/>
    <w:rsid w:val="00F44FA4"/>
    <w:rsid w:val="00F45757"/>
    <w:rsid w:val="00F47847"/>
    <w:rsid w:val="00F47E7B"/>
    <w:rsid w:val="00F51B42"/>
    <w:rsid w:val="00F54130"/>
    <w:rsid w:val="00F5639A"/>
    <w:rsid w:val="00F57255"/>
    <w:rsid w:val="00F5758A"/>
    <w:rsid w:val="00F606FB"/>
    <w:rsid w:val="00F60B6D"/>
    <w:rsid w:val="00F60D57"/>
    <w:rsid w:val="00F612F3"/>
    <w:rsid w:val="00F6217F"/>
    <w:rsid w:val="00F6446F"/>
    <w:rsid w:val="00F674D3"/>
    <w:rsid w:val="00F67D73"/>
    <w:rsid w:val="00F70594"/>
    <w:rsid w:val="00F725FA"/>
    <w:rsid w:val="00F733EE"/>
    <w:rsid w:val="00F74ADD"/>
    <w:rsid w:val="00F74C59"/>
    <w:rsid w:val="00F816D4"/>
    <w:rsid w:val="00F8595C"/>
    <w:rsid w:val="00F915BB"/>
    <w:rsid w:val="00F93EE9"/>
    <w:rsid w:val="00F945F6"/>
    <w:rsid w:val="00F94EB4"/>
    <w:rsid w:val="00F95DA0"/>
    <w:rsid w:val="00F95E6D"/>
    <w:rsid w:val="00F96CD3"/>
    <w:rsid w:val="00F97D6D"/>
    <w:rsid w:val="00FA0EB7"/>
    <w:rsid w:val="00FA13BB"/>
    <w:rsid w:val="00FA2182"/>
    <w:rsid w:val="00FA304D"/>
    <w:rsid w:val="00FA5D21"/>
    <w:rsid w:val="00FA6193"/>
    <w:rsid w:val="00FB0CAE"/>
    <w:rsid w:val="00FB295E"/>
    <w:rsid w:val="00FB6737"/>
    <w:rsid w:val="00FC19C1"/>
    <w:rsid w:val="00FC1B8D"/>
    <w:rsid w:val="00FC7093"/>
    <w:rsid w:val="00FC75D1"/>
    <w:rsid w:val="00FD2F89"/>
    <w:rsid w:val="00FD53B5"/>
    <w:rsid w:val="00FE2B77"/>
    <w:rsid w:val="00FE38E8"/>
    <w:rsid w:val="00FE4E99"/>
    <w:rsid w:val="00FE6626"/>
    <w:rsid w:val="00FE76C4"/>
    <w:rsid w:val="00FF4D61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E1AB8C5-255A-44E3-9354-4E13B65F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0F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94EB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057FF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73665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rsid w:val="00776C39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776C39"/>
    <w:pPr>
      <w:ind w:left="300" w:hangingChars="100" w:hanging="100"/>
    </w:pPr>
    <w:rPr>
      <w:b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1"/>
    <w:qFormat/>
    <w:rsid w:val="0040630C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23"/>
    <w:next w:val="a"/>
    <w:autoRedefine/>
    <w:uiPriority w:val="39"/>
    <w:rsid w:val="00972D1F"/>
    <w:pPr>
      <w:tabs>
        <w:tab w:val="left" w:pos="672"/>
      </w:tabs>
      <w:adjustRightInd w:val="0"/>
      <w:ind w:left="646" w:rightChars="99" w:right="280" w:hanging="646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paragraph" w:styleId="af3">
    <w:name w:val="footnote text"/>
    <w:basedOn w:val="a"/>
    <w:link w:val="af4"/>
    <w:unhideWhenUsed/>
    <w:rsid w:val="00036BA6"/>
    <w:pPr>
      <w:snapToGrid w:val="0"/>
      <w:spacing w:line="280" w:lineRule="exact"/>
      <w:ind w:leftChars="0" w:left="30" w:hangingChars="30" w:hanging="30"/>
    </w:pPr>
    <w:rPr>
      <w:sz w:val="24"/>
      <w:szCs w:val="20"/>
    </w:rPr>
  </w:style>
  <w:style w:type="character" w:customStyle="1" w:styleId="af4">
    <w:name w:val="註腳文字 字元"/>
    <w:link w:val="af3"/>
    <w:rsid w:val="00036BA6"/>
    <w:rPr>
      <w:rFonts w:ascii="標楷體" w:eastAsia="標楷體"/>
      <w:snapToGrid w:val="0"/>
      <w:kern w:val="2"/>
      <w:sz w:val="24"/>
    </w:rPr>
  </w:style>
  <w:style w:type="character" w:styleId="af5">
    <w:name w:val="footnote reference"/>
    <w:unhideWhenUsed/>
    <w:rsid w:val="00036BA6"/>
    <w:rPr>
      <w:vertAlign w:val="superscript"/>
    </w:rPr>
  </w:style>
  <w:style w:type="character" w:customStyle="1" w:styleId="143">
    <w:name w:val="表格內文(14行高) 字元"/>
    <w:link w:val="142"/>
    <w:rsid w:val="009529F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f3"/>
    <w:link w:val="13"/>
    <w:qFormat/>
    <w:rsid w:val="00036BA6"/>
    <w:pPr>
      <w:ind w:left="73" w:hanging="73"/>
    </w:pPr>
  </w:style>
  <w:style w:type="character" w:customStyle="1" w:styleId="13">
    <w:name w:val="樣式1 字元"/>
    <w:link w:val="12"/>
    <w:rsid w:val="00036BA6"/>
    <w:rPr>
      <w:rFonts w:ascii="標楷體" w:eastAsia="標楷體"/>
      <w:snapToGrid w:val="0"/>
      <w:kern w:val="2"/>
      <w:sz w:val="24"/>
    </w:rPr>
  </w:style>
  <w:style w:type="character" w:customStyle="1" w:styleId="145">
    <w:name w:val="表格內文(14行高) 字元 字元"/>
    <w:rsid w:val="009529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1"/>
    <w:link w:val="200"/>
    <w:rsid w:val="00FE38E8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65CE1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6B1D36"/>
    <w:rPr>
      <w:rFonts w:ascii="標楷體" w:eastAsia="標楷體"/>
      <w:snapToGrid w:val="0"/>
      <w:kern w:val="2"/>
      <w:sz w:val="24"/>
      <w:szCs w:val="28"/>
    </w:rPr>
  </w:style>
  <w:style w:type="character" w:styleId="af6">
    <w:name w:val="page number"/>
    <w:rsid w:val="006B1D36"/>
  </w:style>
  <w:style w:type="character" w:customStyle="1" w:styleId="ab">
    <w:name w:val="報告名稱 字元"/>
    <w:link w:val="aa"/>
    <w:rsid w:val="006B1D36"/>
    <w:rPr>
      <w:rFonts w:ascii="標楷體" w:eastAsia="標楷體"/>
      <w:b/>
      <w:snapToGrid w:val="0"/>
      <w:kern w:val="2"/>
      <w:sz w:val="36"/>
      <w:szCs w:val="28"/>
    </w:rPr>
  </w:style>
  <w:style w:type="character" w:styleId="af7">
    <w:name w:val="Hyperlink"/>
    <w:uiPriority w:val="99"/>
    <w:unhideWhenUsed/>
    <w:rsid w:val="006B1D36"/>
    <w:rPr>
      <w:color w:val="0563C1"/>
      <w:u w:val="single"/>
    </w:rPr>
  </w:style>
  <w:style w:type="character" w:customStyle="1" w:styleId="10">
    <w:name w:val="標題 1 字元"/>
    <w:link w:val="1"/>
    <w:uiPriority w:val="9"/>
    <w:rsid w:val="00F94EB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140">
    <w:name w:val="第二層(14號字) 字元"/>
    <w:link w:val="14"/>
    <w:rsid w:val="00776C39"/>
    <w:rPr>
      <w:rFonts w:ascii="標楷體" w:eastAsia="標楷體"/>
      <w:b/>
      <w:snapToGrid w:val="0"/>
      <w:kern w:val="2"/>
      <w:sz w:val="28"/>
    </w:rPr>
  </w:style>
  <w:style w:type="paragraph" w:customStyle="1" w:styleId="14-12">
    <w:name w:val="表格內文（14行高-12)"/>
    <w:basedOn w:val="142"/>
    <w:qFormat/>
    <w:rsid w:val="00516552"/>
    <w:rPr>
      <w:rFonts w:hAnsi="標楷體"/>
      <w:spacing w:val="-20"/>
      <w:szCs w:val="24"/>
    </w:rPr>
  </w:style>
  <w:style w:type="paragraph" w:customStyle="1" w:styleId="1420">
    <w:name w:val="表格內文(14行高註2)"/>
    <w:basedOn w:val="142"/>
    <w:qFormat/>
    <w:rsid w:val="00DC22F3"/>
    <w:pPr>
      <w:ind w:leftChars="220" w:left="317" w:hangingChars="97" w:hanging="97"/>
    </w:pPr>
  </w:style>
  <w:style w:type="paragraph" w:customStyle="1" w:styleId="14-2">
    <w:name w:val="表格內文(14行-2高)"/>
    <w:basedOn w:val="142"/>
    <w:qFormat/>
    <w:rsid w:val="00516552"/>
    <w:pPr>
      <w:ind w:leftChars="5" w:left="82" w:hangingChars="28" w:hanging="68"/>
      <w:jc w:val="both"/>
    </w:pPr>
  </w:style>
  <w:style w:type="paragraph" w:customStyle="1" w:styleId="122218">
    <w:name w:val="12 點 靠右 左:  2 字元 第一行:  2 字元 行距:  固定行高 18 點"/>
    <w:basedOn w:val="a"/>
    <w:rsid w:val="00DF71B9"/>
    <w:pPr>
      <w:spacing w:line="360" w:lineRule="exact"/>
      <w:ind w:leftChars="0" w:left="0" w:firstLineChars="0" w:firstLine="0"/>
      <w:jc w:val="right"/>
    </w:pPr>
    <w:rPr>
      <w:rFonts w:cs="新細明體"/>
      <w:sz w:val="24"/>
      <w:szCs w:val="20"/>
    </w:rPr>
  </w:style>
  <w:style w:type="character" w:customStyle="1" w:styleId="30">
    <w:name w:val="標題 3 字元"/>
    <w:link w:val="3"/>
    <w:uiPriority w:val="9"/>
    <w:semiHidden/>
    <w:rsid w:val="0073665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8">
    <w:name w:val="Balloon Text"/>
    <w:basedOn w:val="a"/>
    <w:link w:val="af9"/>
    <w:uiPriority w:val="99"/>
    <w:semiHidden/>
    <w:unhideWhenUsed/>
    <w:rsid w:val="001F458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1F458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a">
    <w:name w:val="Table Grid"/>
    <w:basedOn w:val="a1"/>
    <w:uiPriority w:val="59"/>
    <w:rsid w:val="005A6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uiPriority w:val="99"/>
    <w:semiHidden/>
    <w:unhideWhenUsed/>
    <w:rsid w:val="00D6368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D63681"/>
    <w:pPr>
      <w:jc w:val="left"/>
    </w:pPr>
  </w:style>
  <w:style w:type="character" w:customStyle="1" w:styleId="afd">
    <w:name w:val="註解文字 字元"/>
    <w:link w:val="afc"/>
    <w:uiPriority w:val="99"/>
    <w:semiHidden/>
    <w:rsid w:val="00D6368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D63681"/>
    <w:rPr>
      <w:b/>
      <w:bCs/>
    </w:rPr>
  </w:style>
  <w:style w:type="character" w:customStyle="1" w:styleId="aff">
    <w:name w:val="註解主旨 字元"/>
    <w:link w:val="afe"/>
    <w:uiPriority w:val="99"/>
    <w:semiHidden/>
    <w:rsid w:val="00D63681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locked/>
    <w:rsid w:val="00776C39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semiHidden/>
    <w:rsid w:val="00A057FF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customStyle="1" w:styleId="15">
    <w:name w:val="清單段落1"/>
    <w:aliases w:val="清單段落2,表格正文"/>
    <w:basedOn w:val="a"/>
    <w:link w:val="aff0"/>
    <w:uiPriority w:val="34"/>
    <w:qFormat/>
    <w:rsid w:val="00ED01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  <w:lang w:val="x-none" w:eastAsia="x-none"/>
    </w:rPr>
  </w:style>
  <w:style w:type="character" w:customStyle="1" w:styleId="aff0">
    <w:name w:val="清單段落 字元"/>
    <w:aliases w:val="清單段落2 字元,表格正文 字元"/>
    <w:link w:val="15"/>
    <w:uiPriority w:val="34"/>
    <w:locked/>
    <w:rsid w:val="00ED011D"/>
    <w:rPr>
      <w:rFonts w:ascii="Calibri" w:hAnsi="Calibri"/>
      <w:kern w:val="2"/>
      <w:sz w:val="24"/>
      <w:szCs w:val="22"/>
      <w:lang w:val="x-none" w:eastAsia="x-none"/>
    </w:rPr>
  </w:style>
  <w:style w:type="paragraph" w:styleId="aff1">
    <w:name w:val="Salutation"/>
    <w:basedOn w:val="a"/>
    <w:next w:val="a"/>
    <w:rsid w:val="00C15CB8"/>
  </w:style>
  <w:style w:type="paragraph" w:styleId="aff2">
    <w:name w:val="Closing"/>
    <w:basedOn w:val="a"/>
    <w:rsid w:val="00C15CB8"/>
    <w:pPr>
      <w:ind w:leftChars="1800" w:left="100"/>
    </w:pPr>
  </w:style>
  <w:style w:type="paragraph" w:customStyle="1" w:styleId="146">
    <w:name w:val="註腳(表格內文14行高左右齊)"/>
    <w:basedOn w:val="142"/>
    <w:qFormat/>
    <w:rsid w:val="00D853D9"/>
    <w:pPr>
      <w:wordWrap w:val="0"/>
      <w:ind w:leftChars="-15" w:left="153" w:hangingChars="80" w:hanging="195"/>
      <w:jc w:val="both"/>
    </w:pPr>
  </w:style>
  <w:style w:type="character" w:customStyle="1" w:styleId="aff3">
    <w:name w:val="未解析的提及"/>
    <w:uiPriority w:val="99"/>
    <w:semiHidden/>
    <w:unhideWhenUsed/>
    <w:rsid w:val="00376663"/>
    <w:rPr>
      <w:color w:val="605E5C"/>
      <w:shd w:val="clear" w:color="auto" w:fill="E1DFDD"/>
    </w:rPr>
  </w:style>
  <w:style w:type="character" w:customStyle="1" w:styleId="1231">
    <w:name w:val="1.2.3. 字元1"/>
    <w:link w:val="123"/>
    <w:rsid w:val="0040630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表格內文(14行高) 字元1"/>
    <w:rsid w:val="00BE3D9E"/>
    <w:rPr>
      <w:rFonts w:ascii="標楷體" w:eastAsia="標楷體"/>
      <w:snapToGrid w:val="0"/>
      <w:kern w:val="2"/>
      <w:sz w:val="24"/>
      <w:szCs w:val="28"/>
    </w:rPr>
  </w:style>
  <w:style w:type="character" w:customStyle="1" w:styleId="1411">
    <w:name w:val="第二層(14號字) 字元1"/>
    <w:rsid w:val="00BE3D9E"/>
    <w:rPr>
      <w:rFonts w:ascii="標楷體" w:eastAsia="標楷體"/>
      <w:b/>
      <w:snapToGrid w:val="0"/>
      <w:kern w:val="2"/>
      <w:sz w:val="28"/>
    </w:rPr>
  </w:style>
  <w:style w:type="paragraph" w:styleId="aff4">
    <w:name w:val="List Paragraph"/>
    <w:basedOn w:val="a"/>
    <w:uiPriority w:val="34"/>
    <w:qFormat/>
    <w:rsid w:val="00273D24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4119B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math-inline">
    <w:name w:val="math-inline"/>
    <w:basedOn w:val="a0"/>
    <w:rsid w:val="00CA6193"/>
  </w:style>
  <w:style w:type="character" w:customStyle="1" w:styleId="citation-396">
    <w:name w:val="citation-396"/>
    <w:basedOn w:val="a0"/>
    <w:rsid w:val="00336C59"/>
  </w:style>
  <w:style w:type="character" w:customStyle="1" w:styleId="citation-395">
    <w:name w:val="citation-395"/>
    <w:basedOn w:val="a0"/>
    <w:rsid w:val="00336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27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215">
              <w:marLeft w:val="0"/>
              <w:marRight w:val="0"/>
              <w:marTop w:val="0"/>
              <w:marBottom w:val="45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16140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DC61-A23A-492E-9FCF-A6EAABA24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3</Pages>
  <Words>306</Words>
  <Characters>1747</Characters>
  <Application>Microsoft Office Word</Application>
  <DocSecurity>0</DocSecurity>
  <Lines>14</Lines>
  <Paragraphs>4</Paragraphs>
  <ScaleCrop>false</ScaleCrop>
  <Company>HOME</Company>
  <LinksUpToDate>false</LinksUpToDate>
  <CharactersWithSpaces>2049</CharactersWithSpaces>
  <SharedDoc>false</SharedDoc>
  <HLinks>
    <vt:vector size="30" baseType="variant">
      <vt:variant>
        <vt:i4>1638452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_Toc182575060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_Toc182575059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_Toc182575058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_Toc182575057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_Toc182575056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2026-03-26T08:35:00Z</cp:lastPrinted>
  <dcterms:created xsi:type="dcterms:W3CDTF">2026-03-30T02:42:00Z</dcterms:created>
  <dcterms:modified xsi:type="dcterms:W3CDTF">2026-03-30T02:42:00Z</dcterms:modified>
</cp:coreProperties>
</file>