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0D4244" w:rsidRPr="00F629AF" w:rsidRDefault="000D4244" w:rsidP="000D4244">
      <w:pPr>
        <w:pStyle w:val="14"/>
        <w:ind w:left="567" w:hanging="567"/>
      </w:pPr>
      <w:bookmarkStart w:id="0" w:name="_Toc162601091"/>
      <w:bookmarkStart w:id="1" w:name="_Toc162273576"/>
      <w:bookmarkStart w:id="2" w:name="_Toc225417356"/>
      <w:bookmarkStart w:id="3" w:name="_Toc225435015"/>
      <w:r>
        <w:rPr>
          <w:rFonts w:hint="eastAsia"/>
        </w:rPr>
        <w:t>三</w:t>
      </w:r>
      <w:r w:rsidRPr="00F629AF">
        <w:rPr>
          <w:rFonts w:hint="eastAsia"/>
        </w:rPr>
        <w:t>、為積極活化不動產，國軍老舊眷村改建基金允宜秉財務管理原則</w:t>
      </w:r>
      <w:r w:rsidRPr="004F4086">
        <w:rPr>
          <w:rFonts w:hint="eastAsia"/>
        </w:rPr>
        <w:t>妥善標</w:t>
      </w:r>
      <w:r w:rsidRPr="00F629AF">
        <w:rPr>
          <w:rFonts w:hint="eastAsia"/>
        </w:rPr>
        <w:t>售或運用事宜</w:t>
      </w:r>
      <w:r w:rsidRPr="00F629AF">
        <w:rPr>
          <w:rFonts w:hAnsi="標楷體" w:hint="eastAsia"/>
        </w:rPr>
        <w:t>，</w:t>
      </w:r>
      <w:r w:rsidRPr="00F629AF">
        <w:rPr>
          <w:rFonts w:hint="eastAsia"/>
        </w:rPr>
        <w:t>俾增裕基金收入</w:t>
      </w:r>
      <w:bookmarkEnd w:id="0"/>
      <w:bookmarkEnd w:id="2"/>
      <w:bookmarkEnd w:id="3"/>
    </w:p>
    <w:p w:rsidR="000D4244" w:rsidRPr="004F4086" w:rsidRDefault="000D4244" w:rsidP="000D4244">
      <w:pPr>
        <w:ind w:left="566" w:firstLine="566"/>
      </w:pPr>
      <w:r w:rsidRPr="00F629AF">
        <w:rPr>
          <w:rFonts w:hint="eastAsia"/>
        </w:rPr>
        <w:t>國防部主管國軍老舊眷村改建基金(以下簡稱眷改基金)113年度於「銷貨收入」編列</w:t>
      </w:r>
      <w:r w:rsidRPr="00F629AF">
        <w:rPr>
          <w:rFonts w:hAnsi="標楷體" w:hint="eastAsia"/>
        </w:rPr>
        <w:t>「營建及加工品銷貨收入」預算數</w:t>
      </w:r>
      <w:r w:rsidRPr="004F4086">
        <w:rPr>
          <w:rFonts w:hAnsi="標楷體" w:hint="eastAsia"/>
        </w:rPr>
        <w:t>2億4,335萬2</w:t>
      </w:r>
      <w:r w:rsidRPr="004F4086">
        <w:rPr>
          <w:rFonts w:hAnsi="標楷體"/>
        </w:rPr>
        <w:t>千元</w:t>
      </w:r>
      <w:r w:rsidRPr="004F4086">
        <w:rPr>
          <w:rFonts w:hint="eastAsia"/>
        </w:rPr>
        <w:t>，執行結果決算數僅1億1,548萬9</w:t>
      </w:r>
      <w:r w:rsidRPr="004F4086">
        <w:rPr>
          <w:rFonts w:hAnsi="標楷體" w:hint="eastAsia"/>
        </w:rPr>
        <w:t>千元，達成率47.46</w:t>
      </w:r>
      <w:r w:rsidRPr="004F4086">
        <w:rPr>
          <w:rFonts w:hAnsi="標楷體"/>
        </w:rPr>
        <w:t>%</w:t>
      </w:r>
      <w:r w:rsidRPr="004F4086">
        <w:rPr>
          <w:rFonts w:hAnsi="標楷體" w:hint="eastAsia"/>
        </w:rPr>
        <w:t>，不動產標售</w:t>
      </w:r>
      <w:bookmarkStart w:id="4" w:name="_Hlk190850930"/>
      <w:r w:rsidRPr="004F4086">
        <w:rPr>
          <w:rFonts w:hAnsi="標楷體" w:hint="eastAsia"/>
        </w:rPr>
        <w:t>不如預期</w:t>
      </w:r>
      <w:bookmarkEnd w:id="4"/>
      <w:r w:rsidRPr="004F4086">
        <w:rPr>
          <w:rFonts w:hAnsi="標楷體" w:hint="eastAsia"/>
        </w:rPr>
        <w:t>，謹說明如下：</w:t>
      </w:r>
    </w:p>
    <w:p w:rsidR="000D4244" w:rsidRPr="00F629AF" w:rsidRDefault="000D4244" w:rsidP="000D4244">
      <w:pPr>
        <w:pStyle w:val="a4"/>
        <w:ind w:left="849" w:hanging="283"/>
        <w:rPr>
          <w:b/>
        </w:rPr>
      </w:pPr>
      <w:r w:rsidRPr="004F4086">
        <w:rPr>
          <w:rFonts w:hint="eastAsia"/>
          <w:b/>
        </w:rPr>
        <w:t>(一)113年底待填補短絀仍逾千億元，允宜制定有效策略，逐步彌</w:t>
      </w:r>
      <w:r w:rsidRPr="00F629AF">
        <w:rPr>
          <w:rFonts w:hint="eastAsia"/>
          <w:b/>
        </w:rPr>
        <w:t>平虧損</w:t>
      </w:r>
    </w:p>
    <w:p w:rsidR="000D4244" w:rsidRPr="00F629AF" w:rsidRDefault="000D4244" w:rsidP="000D4244">
      <w:pPr>
        <w:pStyle w:val="21"/>
        <w:ind w:left="850" w:firstLine="566"/>
      </w:pPr>
      <w:bookmarkStart w:id="5" w:name="_Hlk224035768"/>
      <w:r w:rsidRPr="00F629AF">
        <w:rPr>
          <w:rFonts w:hint="eastAsia"/>
        </w:rPr>
        <w:t>眷村改建業務經費需求龐大，原採特別預算與作業基金搭配設計，規劃土地處分得款</w:t>
      </w:r>
      <w:r w:rsidRPr="003640E5">
        <w:rPr>
          <w:rFonts w:hint="eastAsia"/>
        </w:rPr>
        <w:t>由特別預算支</w:t>
      </w:r>
      <w:r w:rsidRPr="00F629AF">
        <w:rPr>
          <w:rFonts w:hint="eastAsia"/>
        </w:rPr>
        <w:t>應輔助眷戶購宅等法定支出項目，餘款撥充該基金辦理眷改工程，完工後按起造房地成本</w:t>
      </w:r>
      <w:r w:rsidRPr="003640E5">
        <w:rPr>
          <w:rFonts w:hint="eastAsia"/>
        </w:rPr>
        <w:t>價售眷戶</w:t>
      </w:r>
      <w:r w:rsidRPr="003640E5">
        <w:rPr>
          <w:rStyle w:val="af9"/>
        </w:rPr>
        <w:footnoteReference w:id="1"/>
      </w:r>
      <w:r w:rsidRPr="003640E5">
        <w:rPr>
          <w:rFonts w:hint="eastAsia"/>
        </w:rPr>
        <w:t>或進行標售</w:t>
      </w:r>
      <w:r w:rsidRPr="00F629AF">
        <w:rPr>
          <w:rFonts w:hint="eastAsia"/>
        </w:rPr>
        <w:t>，維持基金收支平衡</w:t>
      </w:r>
      <w:bookmarkEnd w:id="5"/>
      <w:r w:rsidRPr="00F629AF">
        <w:rPr>
          <w:rFonts w:hint="eastAsia"/>
        </w:rPr>
        <w:t>。揆以眷改基金近4年度(110至113年度，下同)收支餘絀實績，自111年度起由短絀轉為賸餘，待填補短絀雖略微下降，113年底卻仍有1,052億7,957萬1千元(詳表1)留待以後年度填補，容屬龐鉅，為利長期穩健營運，允宜制定有效策略，</w:t>
      </w:r>
      <w:r w:rsidRPr="004F4086">
        <w:rPr>
          <w:rFonts w:hint="eastAsia"/>
        </w:rPr>
        <w:t>逐步彌平累積</w:t>
      </w:r>
      <w:r w:rsidRPr="00F629AF">
        <w:rPr>
          <w:rFonts w:hint="eastAsia"/>
        </w:rPr>
        <w:t>虧損。</w:t>
      </w:r>
    </w:p>
    <w:p w:rsidR="000D4244" w:rsidRPr="00F629AF" w:rsidRDefault="000D4244" w:rsidP="000D4244">
      <w:pPr>
        <w:adjustRightInd w:val="0"/>
        <w:ind w:leftChars="0" w:left="0" w:right="-7" w:firstLineChars="0" w:firstLine="0"/>
        <w:jc w:val="left"/>
        <w:rPr>
          <w:rFonts w:hAnsi="標楷體"/>
          <w:bCs/>
        </w:rPr>
      </w:pPr>
      <w:r w:rsidRPr="00F629AF">
        <w:rPr>
          <w:rFonts w:hAnsi="標楷體" w:hint="eastAsia"/>
          <w:b/>
        </w:rPr>
        <w:t>表1</w:t>
      </w:r>
      <w:r w:rsidRPr="00F629AF">
        <w:rPr>
          <w:rFonts w:hAnsi="標楷體"/>
          <w:b/>
        </w:rPr>
        <w:t xml:space="preserve"> </w:t>
      </w:r>
      <w:r w:rsidRPr="00F629AF">
        <w:rPr>
          <w:rFonts w:hAnsi="標楷體" w:hint="eastAsia"/>
          <w:b/>
        </w:rPr>
        <w:t>110至1</w:t>
      </w:r>
      <w:r w:rsidRPr="00F629AF">
        <w:rPr>
          <w:rFonts w:hAnsi="標楷體"/>
          <w:b/>
        </w:rPr>
        <w:t>1</w:t>
      </w:r>
      <w:r w:rsidRPr="00F629AF">
        <w:rPr>
          <w:rFonts w:hAnsi="標楷體" w:hint="eastAsia"/>
          <w:b/>
        </w:rPr>
        <w:t xml:space="preserve">3年度眷改基金收支餘絀情形表      </w:t>
      </w:r>
      <w:r w:rsidRPr="00F629AF">
        <w:rPr>
          <w:rFonts w:hAnsi="標楷體" w:hint="eastAsia"/>
          <w:bCs/>
          <w:sz w:val="24"/>
          <w:szCs w:val="24"/>
        </w:rPr>
        <w:t>單位：新臺幣千元</w:t>
      </w:r>
      <w:r w:rsidRPr="00F629AF">
        <w:rPr>
          <w:rFonts w:hAnsi="標楷體" w:hint="eastAsia"/>
          <w:b/>
        </w:rPr>
        <w:t xml:space="preserve">     </w:t>
      </w:r>
      <w:r w:rsidRPr="00F629AF">
        <w:rPr>
          <w:rFonts w:hAnsi="標楷體" w:hint="eastAsia"/>
          <w:bCs/>
        </w:rPr>
        <w:t xml:space="preserve">                            </w:t>
      </w:r>
    </w:p>
    <w:tbl>
      <w:tblPr>
        <w:tblW w:w="482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1"/>
        <w:gridCol w:w="1296"/>
        <w:gridCol w:w="1056"/>
        <w:gridCol w:w="1296"/>
        <w:gridCol w:w="1056"/>
        <w:gridCol w:w="1536"/>
        <w:gridCol w:w="1536"/>
      </w:tblGrid>
      <w:tr w:rsidR="000D4244" w:rsidRPr="000D4244" w:rsidTr="00E33976">
        <w:trPr>
          <w:tblHeader/>
          <w:jc w:val="center"/>
        </w:trPr>
        <w:tc>
          <w:tcPr>
            <w:tcW w:w="473" w:type="pct"/>
            <w:vMerge w:val="restart"/>
            <w:shd w:val="clear" w:color="auto" w:fill="auto"/>
            <w:vAlign w:val="center"/>
          </w:tcPr>
          <w:p w:rsidR="000D4244" w:rsidRPr="000D4244" w:rsidRDefault="000D4244" w:rsidP="000D4244">
            <w:pPr>
              <w:pStyle w:val="142"/>
              <w:jc w:val="center"/>
              <w:rPr>
                <w:b/>
                <w:bCs/>
              </w:rPr>
            </w:pPr>
            <w:r w:rsidRPr="000D4244">
              <w:rPr>
                <w:rFonts w:hint="eastAsia"/>
                <w:b/>
                <w:bCs/>
              </w:rPr>
              <w:t>年度</w:t>
            </w:r>
          </w:p>
        </w:tc>
        <w:tc>
          <w:tcPr>
            <w:tcW w:w="1397" w:type="pct"/>
            <w:gridSpan w:val="2"/>
            <w:tcBorders>
              <w:right w:val="single" w:sz="4" w:space="0" w:color="auto"/>
            </w:tcBorders>
            <w:shd w:val="clear" w:color="auto" w:fill="auto"/>
          </w:tcPr>
          <w:p w:rsidR="000D4244" w:rsidRPr="000D4244" w:rsidRDefault="000D4244" w:rsidP="000D4244">
            <w:pPr>
              <w:pStyle w:val="142"/>
              <w:jc w:val="center"/>
              <w:rPr>
                <w:b/>
                <w:bCs/>
              </w:rPr>
            </w:pPr>
            <w:r w:rsidRPr="000D4244">
              <w:rPr>
                <w:b/>
                <w:bCs/>
              </w:rPr>
              <w:t>收入</w:t>
            </w:r>
          </w:p>
        </w:tc>
        <w:tc>
          <w:tcPr>
            <w:tcW w:w="1353" w:type="pct"/>
            <w:gridSpan w:val="2"/>
            <w:tcBorders>
              <w:left w:val="single" w:sz="4" w:space="0" w:color="auto"/>
            </w:tcBorders>
            <w:shd w:val="clear" w:color="auto" w:fill="auto"/>
          </w:tcPr>
          <w:p w:rsidR="000D4244" w:rsidRPr="000D4244" w:rsidRDefault="000D4244" w:rsidP="000D4244">
            <w:pPr>
              <w:pStyle w:val="142"/>
              <w:jc w:val="center"/>
              <w:rPr>
                <w:b/>
                <w:bCs/>
              </w:rPr>
            </w:pPr>
            <w:r w:rsidRPr="000D4244">
              <w:rPr>
                <w:b/>
                <w:bCs/>
              </w:rPr>
              <w:t>支出</w:t>
            </w:r>
          </w:p>
        </w:tc>
        <w:tc>
          <w:tcPr>
            <w:tcW w:w="858" w:type="pct"/>
            <w:vMerge w:val="restart"/>
            <w:shd w:val="clear" w:color="auto" w:fill="auto"/>
            <w:vAlign w:val="center"/>
          </w:tcPr>
          <w:p w:rsidR="000D4244" w:rsidRPr="000D4244" w:rsidRDefault="000D4244" w:rsidP="000D4244">
            <w:pPr>
              <w:pStyle w:val="142"/>
              <w:jc w:val="center"/>
              <w:rPr>
                <w:b/>
                <w:bCs/>
              </w:rPr>
            </w:pPr>
            <w:r w:rsidRPr="000D4244">
              <w:rPr>
                <w:rFonts w:hint="eastAsia"/>
                <w:b/>
                <w:bCs/>
              </w:rPr>
              <w:t>收支餘絀</w:t>
            </w:r>
          </w:p>
        </w:tc>
        <w:tc>
          <w:tcPr>
            <w:tcW w:w="920" w:type="pct"/>
            <w:vMerge w:val="restart"/>
            <w:vAlign w:val="center"/>
          </w:tcPr>
          <w:p w:rsidR="000D4244" w:rsidRPr="000D4244" w:rsidRDefault="000D4244" w:rsidP="000D4244">
            <w:pPr>
              <w:pStyle w:val="142"/>
              <w:jc w:val="center"/>
              <w:rPr>
                <w:rFonts w:hint="eastAsia"/>
                <w:b/>
                <w:bCs/>
              </w:rPr>
            </w:pPr>
            <w:r w:rsidRPr="000D4244">
              <w:rPr>
                <w:rFonts w:hint="eastAsia"/>
                <w:b/>
                <w:bCs/>
              </w:rPr>
              <w:t>待填補虧損</w:t>
            </w:r>
          </w:p>
        </w:tc>
      </w:tr>
      <w:tr w:rsidR="000D4244" w:rsidRPr="000D4244" w:rsidTr="00E33976">
        <w:trPr>
          <w:tblHeader/>
          <w:jc w:val="center"/>
        </w:trPr>
        <w:tc>
          <w:tcPr>
            <w:tcW w:w="473" w:type="pct"/>
            <w:vMerge/>
            <w:shd w:val="clear" w:color="auto" w:fill="auto"/>
          </w:tcPr>
          <w:p w:rsidR="000D4244" w:rsidRPr="000D4244" w:rsidRDefault="000D4244" w:rsidP="000D4244">
            <w:pPr>
              <w:pStyle w:val="142"/>
            </w:pPr>
          </w:p>
        </w:tc>
        <w:tc>
          <w:tcPr>
            <w:tcW w:w="716" w:type="pct"/>
            <w:tcBorders>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w:t>
            </w:r>
          </w:p>
          <w:p w:rsidR="000D4244" w:rsidRPr="000D4244" w:rsidRDefault="000D4244" w:rsidP="000D4244">
            <w:pPr>
              <w:pStyle w:val="142"/>
              <w:jc w:val="center"/>
              <w:rPr>
                <w:b/>
                <w:bCs/>
              </w:rPr>
            </w:pPr>
            <w:r w:rsidRPr="000D4244">
              <w:rPr>
                <w:rFonts w:hint="eastAsia"/>
                <w:b/>
                <w:bCs/>
              </w:rPr>
              <w:t>收入</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業務外</w:t>
            </w:r>
          </w:p>
          <w:p w:rsidR="000D4244" w:rsidRPr="000D4244" w:rsidRDefault="000D4244" w:rsidP="000D4244">
            <w:pPr>
              <w:pStyle w:val="142"/>
              <w:jc w:val="center"/>
              <w:rPr>
                <w:b/>
                <w:bCs/>
              </w:rPr>
            </w:pPr>
            <w:r w:rsidRPr="000D4244">
              <w:rPr>
                <w:rFonts w:hint="eastAsia"/>
                <w:b/>
                <w:bCs/>
              </w:rPr>
              <w:t>收入</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業務成本與費用</w:t>
            </w:r>
          </w:p>
        </w:tc>
        <w:tc>
          <w:tcPr>
            <w:tcW w:w="630" w:type="pct"/>
            <w:tcBorders>
              <w:left w:val="single" w:sz="4" w:space="0" w:color="auto"/>
            </w:tcBorders>
            <w:shd w:val="clear" w:color="auto" w:fill="auto"/>
            <w:vAlign w:val="center"/>
          </w:tcPr>
          <w:p w:rsidR="000D4244" w:rsidRPr="000D4244" w:rsidRDefault="000D4244" w:rsidP="000D4244">
            <w:pPr>
              <w:pStyle w:val="142"/>
              <w:jc w:val="center"/>
              <w:rPr>
                <w:b/>
                <w:bCs/>
              </w:rPr>
            </w:pPr>
            <w:r w:rsidRPr="000D4244">
              <w:rPr>
                <w:rFonts w:hint="eastAsia"/>
                <w:b/>
                <w:bCs/>
              </w:rPr>
              <w:t>業務外</w:t>
            </w:r>
          </w:p>
          <w:p w:rsidR="000D4244" w:rsidRPr="000D4244" w:rsidRDefault="000D4244" w:rsidP="000D4244">
            <w:pPr>
              <w:pStyle w:val="142"/>
              <w:jc w:val="center"/>
              <w:rPr>
                <w:b/>
                <w:bCs/>
              </w:rPr>
            </w:pPr>
            <w:r w:rsidRPr="000D4244">
              <w:rPr>
                <w:rFonts w:hint="eastAsia"/>
                <w:b/>
                <w:bCs/>
              </w:rPr>
              <w:t>費用</w:t>
            </w:r>
          </w:p>
        </w:tc>
        <w:tc>
          <w:tcPr>
            <w:tcW w:w="858" w:type="pct"/>
            <w:vMerge/>
            <w:shd w:val="clear" w:color="auto" w:fill="auto"/>
          </w:tcPr>
          <w:p w:rsidR="000D4244" w:rsidRPr="000D4244" w:rsidRDefault="000D4244" w:rsidP="000D4244">
            <w:pPr>
              <w:pStyle w:val="142"/>
            </w:pPr>
          </w:p>
        </w:tc>
        <w:tc>
          <w:tcPr>
            <w:tcW w:w="920" w:type="pct"/>
            <w:vMerge/>
          </w:tcPr>
          <w:p w:rsidR="000D4244" w:rsidRPr="000D4244" w:rsidRDefault="000D4244" w:rsidP="000D4244">
            <w:pPr>
              <w:pStyle w:val="142"/>
            </w:pP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110</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78,880</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391,561</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5,947,368</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348,334</w:t>
            </w:r>
          </w:p>
        </w:tc>
        <w:tc>
          <w:tcPr>
            <w:tcW w:w="858" w:type="pct"/>
            <w:shd w:val="clear" w:color="auto" w:fill="auto"/>
            <w:vAlign w:val="center"/>
          </w:tcPr>
          <w:p w:rsidR="000D4244" w:rsidRPr="000D4244" w:rsidRDefault="000D4244" w:rsidP="000D4244">
            <w:pPr>
              <w:pStyle w:val="142"/>
              <w:jc w:val="right"/>
            </w:pPr>
            <w:r w:rsidRPr="000D4244">
              <w:t>(</w:t>
            </w:r>
            <w:r w:rsidRPr="000D4244">
              <w:rPr>
                <w:rFonts w:hint="eastAsia"/>
              </w:rPr>
              <w:t>5</w:t>
            </w:r>
            <w:r w:rsidRPr="000D4244">
              <w:t>,</w:t>
            </w:r>
            <w:r w:rsidRPr="000D4244">
              <w:rPr>
                <w:rFonts w:hint="eastAsia"/>
              </w:rPr>
              <w:t>825</w:t>
            </w:r>
            <w:r w:rsidRPr="000D4244">
              <w:t>,</w:t>
            </w:r>
            <w:r w:rsidRPr="000D4244">
              <w:rPr>
                <w:rFonts w:hint="eastAsia"/>
              </w:rPr>
              <w:t>261</w:t>
            </w:r>
            <w:r w:rsidRPr="000D4244">
              <w:t>)</w:t>
            </w:r>
          </w:p>
        </w:tc>
        <w:tc>
          <w:tcPr>
            <w:tcW w:w="920" w:type="pct"/>
          </w:tcPr>
          <w:p w:rsidR="000D4244" w:rsidRPr="000D4244" w:rsidRDefault="000D4244" w:rsidP="000D4244">
            <w:pPr>
              <w:pStyle w:val="142"/>
              <w:jc w:val="right"/>
            </w:pPr>
            <w:r w:rsidRPr="000D4244">
              <w:rPr>
                <w:rFonts w:hint="eastAsia"/>
              </w:rPr>
              <w:t>106,233,919</w:t>
            </w: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111</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1,572,433</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475,269</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1,340,201</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449,588</w:t>
            </w:r>
          </w:p>
        </w:tc>
        <w:tc>
          <w:tcPr>
            <w:tcW w:w="858" w:type="pct"/>
            <w:shd w:val="clear" w:color="auto" w:fill="auto"/>
            <w:vAlign w:val="center"/>
          </w:tcPr>
          <w:p w:rsidR="000D4244" w:rsidRPr="000D4244" w:rsidRDefault="000D4244" w:rsidP="000D4244">
            <w:pPr>
              <w:pStyle w:val="142"/>
              <w:jc w:val="right"/>
            </w:pPr>
            <w:r w:rsidRPr="000D4244">
              <w:rPr>
                <w:rFonts w:hint="eastAsia"/>
              </w:rPr>
              <w:t>2</w:t>
            </w:r>
            <w:r w:rsidRPr="000D4244">
              <w:t>57,913</w:t>
            </w:r>
          </w:p>
        </w:tc>
        <w:tc>
          <w:tcPr>
            <w:tcW w:w="920" w:type="pct"/>
          </w:tcPr>
          <w:p w:rsidR="000D4244" w:rsidRPr="000D4244" w:rsidRDefault="000D4244" w:rsidP="000D4244">
            <w:pPr>
              <w:pStyle w:val="142"/>
              <w:jc w:val="right"/>
              <w:rPr>
                <w:rFonts w:hint="eastAsia"/>
              </w:rPr>
            </w:pPr>
            <w:r w:rsidRPr="000D4244">
              <w:rPr>
                <w:rFonts w:hint="eastAsia"/>
              </w:rPr>
              <w:t>105,976,006</w:t>
            </w:r>
          </w:p>
        </w:tc>
      </w:tr>
      <w:tr w:rsidR="000D4244" w:rsidRPr="000D4244" w:rsidTr="00E33976">
        <w:trPr>
          <w:jc w:val="center"/>
        </w:trPr>
        <w:tc>
          <w:tcPr>
            <w:tcW w:w="473" w:type="pct"/>
            <w:shd w:val="clear" w:color="auto" w:fill="auto"/>
          </w:tcPr>
          <w:p w:rsidR="000D4244" w:rsidRPr="000D4244" w:rsidRDefault="000D4244" w:rsidP="000D4244">
            <w:pPr>
              <w:pStyle w:val="142"/>
            </w:pPr>
            <w:r w:rsidRPr="000D4244">
              <w:rPr>
                <w:rFonts w:hint="eastAsia"/>
              </w:rPr>
              <w:t>112</w:t>
            </w:r>
          </w:p>
        </w:tc>
        <w:tc>
          <w:tcPr>
            <w:tcW w:w="716" w:type="pct"/>
            <w:tcBorders>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80,673</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579,580</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pPr>
            <w:r w:rsidRPr="000D4244">
              <w:rPr>
                <w:rFonts w:hint="eastAsia"/>
              </w:rPr>
              <w:t>102,152</w:t>
            </w:r>
          </w:p>
        </w:tc>
        <w:tc>
          <w:tcPr>
            <w:tcW w:w="630" w:type="pct"/>
            <w:tcBorders>
              <w:left w:val="single" w:sz="4" w:space="0" w:color="auto"/>
            </w:tcBorders>
            <w:shd w:val="clear" w:color="auto" w:fill="auto"/>
            <w:vAlign w:val="center"/>
          </w:tcPr>
          <w:p w:rsidR="000D4244" w:rsidRPr="000D4244" w:rsidRDefault="000D4244" w:rsidP="000D4244">
            <w:pPr>
              <w:pStyle w:val="142"/>
              <w:jc w:val="right"/>
            </w:pPr>
            <w:r w:rsidRPr="000D4244">
              <w:rPr>
                <w:rFonts w:hint="eastAsia"/>
              </w:rPr>
              <w:t>313,014</w:t>
            </w:r>
          </w:p>
        </w:tc>
        <w:tc>
          <w:tcPr>
            <w:tcW w:w="858" w:type="pct"/>
            <w:shd w:val="clear" w:color="auto" w:fill="auto"/>
            <w:vAlign w:val="center"/>
          </w:tcPr>
          <w:p w:rsidR="000D4244" w:rsidRPr="000D4244" w:rsidRDefault="000D4244" w:rsidP="000D4244">
            <w:pPr>
              <w:pStyle w:val="142"/>
              <w:jc w:val="right"/>
            </w:pPr>
            <w:r w:rsidRPr="000D4244">
              <w:rPr>
                <w:rFonts w:hint="eastAsia"/>
              </w:rPr>
              <w:t>245</w:t>
            </w:r>
            <w:r w:rsidRPr="000D4244">
              <w:t>,</w:t>
            </w:r>
            <w:r w:rsidRPr="000D4244">
              <w:rPr>
                <w:rFonts w:hint="eastAsia"/>
              </w:rPr>
              <w:t>086</w:t>
            </w:r>
          </w:p>
        </w:tc>
        <w:tc>
          <w:tcPr>
            <w:tcW w:w="920" w:type="pct"/>
          </w:tcPr>
          <w:p w:rsidR="000D4244" w:rsidRPr="000D4244" w:rsidRDefault="000D4244" w:rsidP="000D4244">
            <w:pPr>
              <w:pStyle w:val="142"/>
              <w:jc w:val="right"/>
              <w:rPr>
                <w:rFonts w:hint="eastAsia"/>
              </w:rPr>
            </w:pPr>
            <w:r w:rsidRPr="000D4244">
              <w:rPr>
                <w:rFonts w:hint="eastAsia"/>
              </w:rPr>
              <w:t>105,730,920</w:t>
            </w:r>
          </w:p>
        </w:tc>
      </w:tr>
      <w:tr w:rsidR="000D4244" w:rsidRPr="000D4244" w:rsidTr="00E33976">
        <w:trPr>
          <w:jc w:val="center"/>
        </w:trPr>
        <w:tc>
          <w:tcPr>
            <w:tcW w:w="473" w:type="pct"/>
            <w:shd w:val="clear" w:color="auto" w:fill="auto"/>
          </w:tcPr>
          <w:p w:rsidR="000D4244" w:rsidRPr="000D4244" w:rsidRDefault="000D4244" w:rsidP="000D4244">
            <w:pPr>
              <w:pStyle w:val="142"/>
              <w:rPr>
                <w:rFonts w:hint="eastAsia"/>
              </w:rPr>
            </w:pPr>
            <w:r w:rsidRPr="000D4244">
              <w:rPr>
                <w:rFonts w:hint="eastAsia"/>
              </w:rPr>
              <w:t>113</w:t>
            </w:r>
          </w:p>
        </w:tc>
        <w:tc>
          <w:tcPr>
            <w:tcW w:w="716" w:type="pct"/>
            <w:tcBorders>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149,422</w:t>
            </w:r>
          </w:p>
        </w:tc>
        <w:tc>
          <w:tcPr>
            <w:tcW w:w="680"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777,032</w:t>
            </w:r>
          </w:p>
        </w:tc>
        <w:tc>
          <w:tcPr>
            <w:tcW w:w="722" w:type="pct"/>
            <w:tcBorders>
              <w:left w:val="single" w:sz="4" w:space="0" w:color="auto"/>
              <w:righ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112,143</w:t>
            </w:r>
          </w:p>
        </w:tc>
        <w:tc>
          <w:tcPr>
            <w:tcW w:w="630" w:type="pct"/>
            <w:tcBorders>
              <w:left w:val="single" w:sz="4" w:space="0" w:color="auto"/>
            </w:tcBorders>
            <w:shd w:val="clear" w:color="auto" w:fill="auto"/>
            <w:vAlign w:val="center"/>
          </w:tcPr>
          <w:p w:rsidR="000D4244" w:rsidRPr="000D4244" w:rsidRDefault="000D4244" w:rsidP="000D4244">
            <w:pPr>
              <w:pStyle w:val="142"/>
              <w:jc w:val="right"/>
              <w:rPr>
                <w:rFonts w:hint="eastAsia"/>
              </w:rPr>
            </w:pPr>
            <w:r w:rsidRPr="000D4244">
              <w:rPr>
                <w:rFonts w:hint="eastAsia"/>
              </w:rPr>
              <w:t>362,962</w:t>
            </w:r>
          </w:p>
        </w:tc>
        <w:tc>
          <w:tcPr>
            <w:tcW w:w="858" w:type="pct"/>
            <w:shd w:val="clear" w:color="auto" w:fill="auto"/>
            <w:vAlign w:val="center"/>
          </w:tcPr>
          <w:p w:rsidR="000D4244" w:rsidRPr="000D4244" w:rsidRDefault="000D4244" w:rsidP="000D4244">
            <w:pPr>
              <w:pStyle w:val="142"/>
              <w:jc w:val="right"/>
              <w:rPr>
                <w:rFonts w:hint="eastAsia"/>
              </w:rPr>
            </w:pPr>
            <w:r w:rsidRPr="000D4244">
              <w:rPr>
                <w:rFonts w:hint="eastAsia"/>
              </w:rPr>
              <w:t>451,349</w:t>
            </w:r>
          </w:p>
        </w:tc>
        <w:tc>
          <w:tcPr>
            <w:tcW w:w="920" w:type="pct"/>
          </w:tcPr>
          <w:p w:rsidR="000D4244" w:rsidRPr="000D4244" w:rsidRDefault="000D4244" w:rsidP="000D4244">
            <w:pPr>
              <w:pStyle w:val="142"/>
              <w:jc w:val="right"/>
              <w:rPr>
                <w:rFonts w:hint="eastAsia"/>
              </w:rPr>
            </w:pPr>
            <w:r w:rsidRPr="000D4244">
              <w:rPr>
                <w:rFonts w:hint="eastAsia"/>
              </w:rPr>
              <w:t>105,279,571</w:t>
            </w:r>
          </w:p>
        </w:tc>
      </w:tr>
    </w:tbl>
    <w:p w:rsidR="000D4244" w:rsidRPr="00F629AF" w:rsidRDefault="000D4244" w:rsidP="000D4244">
      <w:pPr>
        <w:spacing w:line="300" w:lineRule="exact"/>
        <w:ind w:leftChars="-14" w:left="1543" w:rightChars="101" w:right="286" w:hangingChars="651" w:hanging="1583"/>
        <w:rPr>
          <w:rFonts w:hAnsi="標楷體"/>
          <w:sz w:val="24"/>
        </w:rPr>
      </w:pPr>
      <w:r w:rsidRPr="00F629AF">
        <w:rPr>
          <w:rFonts w:hAnsi="標楷體" w:hint="eastAsia"/>
          <w:sz w:val="24"/>
        </w:rPr>
        <w:t>資料來源：眷改基金各年度決算書。</w:t>
      </w:r>
    </w:p>
    <w:p w:rsidR="000D4244" w:rsidRPr="00F629AF" w:rsidRDefault="000D4244" w:rsidP="000D4244">
      <w:pPr>
        <w:pStyle w:val="a4"/>
        <w:ind w:left="849" w:hanging="283"/>
        <w:rPr>
          <w:rFonts w:hint="eastAsia"/>
          <w:b/>
        </w:rPr>
      </w:pPr>
      <w:r w:rsidRPr="00F629AF">
        <w:rPr>
          <w:rFonts w:hint="eastAsia"/>
          <w:b/>
        </w:rPr>
        <w:t>(二)近4個年度</w:t>
      </w:r>
      <w:r w:rsidRPr="00F629AF">
        <w:rPr>
          <w:rFonts w:hAnsi="標楷體" w:hint="eastAsia"/>
          <w:b/>
        </w:rPr>
        <w:t>僅111年度</w:t>
      </w:r>
      <w:r w:rsidRPr="003640E5">
        <w:rPr>
          <w:rFonts w:hAnsi="標楷體" w:hint="eastAsia"/>
          <w:b/>
        </w:rPr>
        <w:t>不動產價(標)售達成情形較理想</w:t>
      </w:r>
      <w:r w:rsidRPr="00F629AF">
        <w:rPr>
          <w:rFonts w:hAnsi="標楷體" w:hint="eastAsia"/>
          <w:b/>
        </w:rPr>
        <w:t>，宜</w:t>
      </w:r>
      <w:r w:rsidRPr="00F629AF">
        <w:rPr>
          <w:rFonts w:hAnsi="標楷體" w:hint="eastAsia"/>
          <w:b/>
        </w:rPr>
        <w:lastRenderedPageBreak/>
        <w:t>秉持財務管理原則加強執行</w:t>
      </w:r>
    </w:p>
    <w:p w:rsidR="000D4244" w:rsidRPr="00F629AF" w:rsidRDefault="000D4244" w:rsidP="000D4244">
      <w:pPr>
        <w:pStyle w:val="21"/>
        <w:ind w:left="850" w:firstLine="566"/>
      </w:pPr>
      <w:r w:rsidRPr="00F629AF">
        <w:rPr>
          <w:rFonts w:hint="eastAsia"/>
        </w:rPr>
        <w:t>依國軍老舊眷村改建條例</w:t>
      </w:r>
      <w:r w:rsidRPr="003640E5">
        <w:rPr>
          <w:rFonts w:hint="eastAsia"/>
        </w:rPr>
        <w:t>第1</w:t>
      </w:r>
      <w:r w:rsidRPr="00F629AF">
        <w:rPr>
          <w:rFonts w:hint="eastAsia"/>
        </w:rPr>
        <w:t>3條規定：「改建基金資金來源如下：…五、處分或經營改建完成之房舍價款收入。…。」爰此，眷改基金藉由處分房舍方式，以其價款收入作為該基金</w:t>
      </w:r>
      <w:r w:rsidRPr="003640E5">
        <w:rPr>
          <w:rFonts w:hint="eastAsia"/>
        </w:rPr>
        <w:t>重要財源，提高土地使用經濟效益，進而歸繳國庫，厚植國家財政韌性。惟審視近</w:t>
      </w:r>
      <w:r w:rsidRPr="004F4086">
        <w:rPr>
          <w:rFonts w:hint="eastAsia"/>
        </w:rPr>
        <w:t>4年度(110至113年度)該基金不動產價(標)售情況(詳表2)，除於111年度零星餘屋價售現役官兵、商服設施及餘屋標售戶數達成率各為853.85%及35.44%，收入達成率為142.15%，尚屬理想外，其餘110、112及113等3個年度價(標)售戶數達成率均偏低，介於6.52%至29.41%間，價(標)售戶數均為個位數，其收入達成率僅113年度因預算編列數較低，使達成率較高(47.46%)，110及112年度相關收入達成率則皆未及二成，據其各年度決算書顯示，主要係疫情</w:t>
      </w:r>
      <w:r>
        <w:rPr>
          <w:rFonts w:hint="eastAsia"/>
        </w:rPr>
        <w:t>及年度重大演習推遲價售時程，且受</w:t>
      </w:r>
      <w:r w:rsidRPr="003640E5">
        <w:rPr>
          <w:rFonts w:hint="eastAsia"/>
        </w:rPr>
        <w:t>不動產市場及區域發展等因素影響，投標意願偏低，宜秉持財</w:t>
      </w:r>
      <w:r w:rsidRPr="00F629AF">
        <w:rPr>
          <w:rFonts w:hint="eastAsia"/>
        </w:rPr>
        <w:t>務管理原則加強執行。</w:t>
      </w:r>
    </w:p>
    <w:p w:rsidR="000D4244" w:rsidRPr="00F629AF" w:rsidRDefault="000D4244" w:rsidP="000D4244">
      <w:pPr>
        <w:tabs>
          <w:tab w:val="right" w:pos="8504"/>
        </w:tabs>
        <w:ind w:leftChars="-19" w:left="6143" w:hangingChars="2186" w:hanging="6197"/>
        <w:jc w:val="left"/>
        <w:rPr>
          <w:rFonts w:hAnsi="標楷體"/>
          <w:b/>
        </w:rPr>
      </w:pPr>
      <w:r w:rsidRPr="00F629AF">
        <w:rPr>
          <w:rFonts w:hAnsi="標楷體" w:hint="eastAsia"/>
          <w:b/>
        </w:rPr>
        <w:t>表2 110至113年度國軍老舊眷村改建基金不動產標售情形表</w:t>
      </w:r>
    </w:p>
    <w:p w:rsidR="000D4244" w:rsidRPr="00F629AF" w:rsidRDefault="000D4244" w:rsidP="000D4244">
      <w:pPr>
        <w:tabs>
          <w:tab w:val="right" w:pos="8504"/>
        </w:tabs>
        <w:spacing w:line="440" w:lineRule="exact"/>
        <w:ind w:leftChars="-19" w:left="6143" w:hangingChars="2186" w:hanging="6197"/>
        <w:jc w:val="right"/>
        <w:rPr>
          <w:rFonts w:hAnsi="標楷體" w:cs="標楷體"/>
          <w:b/>
          <w:snapToGrid/>
          <w:w w:val="90"/>
          <w:szCs w:val="20"/>
        </w:rPr>
      </w:pPr>
      <w:r w:rsidRPr="00F629AF">
        <w:rPr>
          <w:rFonts w:hAnsi="標楷體" w:hint="eastAsia"/>
          <w:b/>
        </w:rPr>
        <w:t xml:space="preserve">    </w:t>
      </w:r>
      <w:r w:rsidRPr="00F629AF">
        <w:rPr>
          <w:rFonts w:hAnsi="標楷體" w:hint="eastAsia"/>
          <w:sz w:val="24"/>
        </w:rPr>
        <w:t>單位：戶；</w:t>
      </w:r>
      <w:r>
        <w:rPr>
          <w:rFonts w:hAnsi="標楷體" w:hint="eastAsia"/>
          <w:sz w:val="24"/>
        </w:rPr>
        <w:t>新臺幣千元；</w:t>
      </w:r>
      <w:r w:rsidRPr="00F629AF">
        <w:rPr>
          <w:rFonts w:hAnsi="標楷體" w:hint="eastAsia"/>
          <w:sz w:val="24"/>
        </w:rPr>
        <w:t>%</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890"/>
        <w:gridCol w:w="2127"/>
        <w:gridCol w:w="1842"/>
        <w:gridCol w:w="1707"/>
      </w:tblGrid>
      <w:tr w:rsidR="000D4244" w:rsidRPr="000D4244" w:rsidTr="00E33976">
        <w:trPr>
          <w:trHeight w:val="340"/>
          <w:tblHeader/>
        </w:trPr>
        <w:tc>
          <w:tcPr>
            <w:tcW w:w="2850" w:type="dxa"/>
            <w:gridSpan w:val="2"/>
            <w:vMerge w:val="restart"/>
            <w:shd w:val="clear" w:color="auto" w:fill="auto"/>
            <w:noWrap/>
            <w:vAlign w:val="center"/>
            <w:hideMark/>
          </w:tcPr>
          <w:p w:rsidR="000D4244" w:rsidRPr="000D4244" w:rsidRDefault="000D4244" w:rsidP="000D4244">
            <w:pPr>
              <w:pStyle w:val="142"/>
              <w:jc w:val="center"/>
              <w:rPr>
                <w:b/>
                <w:bCs/>
              </w:rPr>
            </w:pPr>
            <w:r w:rsidRPr="000D4244">
              <w:rPr>
                <w:rFonts w:hint="eastAsia"/>
                <w:b/>
                <w:bCs/>
              </w:rPr>
              <w:t>年度/項目</w:t>
            </w:r>
          </w:p>
        </w:tc>
        <w:tc>
          <w:tcPr>
            <w:tcW w:w="3969" w:type="dxa"/>
            <w:gridSpan w:val="2"/>
            <w:shd w:val="clear" w:color="auto" w:fill="auto"/>
            <w:noWrap/>
            <w:vAlign w:val="center"/>
            <w:hideMark/>
          </w:tcPr>
          <w:p w:rsidR="000D4244" w:rsidRPr="000D4244" w:rsidRDefault="000D4244" w:rsidP="000D4244">
            <w:pPr>
              <w:pStyle w:val="142"/>
              <w:jc w:val="center"/>
              <w:rPr>
                <w:b/>
                <w:bCs/>
              </w:rPr>
            </w:pPr>
            <w:r w:rsidRPr="000D4244">
              <w:rPr>
                <w:rFonts w:hint="eastAsia"/>
                <w:b/>
                <w:bCs/>
              </w:rPr>
              <w:t>戶數</w:t>
            </w:r>
          </w:p>
        </w:tc>
        <w:tc>
          <w:tcPr>
            <w:tcW w:w="1707" w:type="dxa"/>
            <w:vMerge w:val="restart"/>
            <w:shd w:val="clear" w:color="auto" w:fill="auto"/>
            <w:noWrap/>
            <w:vAlign w:val="center"/>
            <w:hideMark/>
          </w:tcPr>
          <w:p w:rsidR="000D4244" w:rsidRPr="000D4244" w:rsidRDefault="000D4244" w:rsidP="000D4244">
            <w:pPr>
              <w:pStyle w:val="142"/>
              <w:jc w:val="center"/>
              <w:rPr>
                <w:b/>
                <w:bCs/>
              </w:rPr>
            </w:pPr>
            <w:r w:rsidRPr="000D4244">
              <w:rPr>
                <w:rFonts w:hint="eastAsia"/>
                <w:b/>
                <w:bCs/>
              </w:rPr>
              <w:t>收入數</w:t>
            </w:r>
          </w:p>
        </w:tc>
      </w:tr>
      <w:tr w:rsidR="000D4244" w:rsidRPr="000D4244" w:rsidTr="00E33976">
        <w:trPr>
          <w:trHeight w:val="340"/>
          <w:tblHeader/>
        </w:trPr>
        <w:tc>
          <w:tcPr>
            <w:tcW w:w="2850" w:type="dxa"/>
            <w:gridSpan w:val="2"/>
            <w:vMerge/>
            <w:shd w:val="clear" w:color="auto" w:fill="auto"/>
            <w:noWrap/>
            <w:vAlign w:val="center"/>
            <w:hideMark/>
          </w:tcPr>
          <w:p w:rsidR="000D4244" w:rsidRPr="000D4244" w:rsidRDefault="000D4244" w:rsidP="000D4244">
            <w:pPr>
              <w:pStyle w:val="142"/>
              <w:jc w:val="center"/>
            </w:pPr>
          </w:p>
        </w:tc>
        <w:tc>
          <w:tcPr>
            <w:tcW w:w="2127" w:type="dxa"/>
            <w:shd w:val="clear" w:color="auto" w:fill="auto"/>
            <w:noWrap/>
            <w:vAlign w:val="center"/>
            <w:hideMark/>
          </w:tcPr>
          <w:p w:rsidR="000D4244" w:rsidRPr="000D4244" w:rsidRDefault="000D4244" w:rsidP="000D4244">
            <w:pPr>
              <w:pStyle w:val="142"/>
              <w:rPr>
                <w:b/>
                <w:bCs/>
              </w:rPr>
            </w:pPr>
            <w:r w:rsidRPr="000D4244">
              <w:rPr>
                <w:rFonts w:hint="eastAsia"/>
                <w:b/>
                <w:bCs/>
              </w:rPr>
              <w:t>零星餘屋價售現役官兵</w:t>
            </w:r>
          </w:p>
        </w:tc>
        <w:tc>
          <w:tcPr>
            <w:tcW w:w="1842" w:type="dxa"/>
            <w:shd w:val="clear" w:color="auto" w:fill="auto"/>
            <w:noWrap/>
            <w:vAlign w:val="center"/>
          </w:tcPr>
          <w:p w:rsidR="000D4244" w:rsidRPr="000D4244" w:rsidRDefault="000D4244" w:rsidP="000D4244">
            <w:pPr>
              <w:pStyle w:val="142"/>
              <w:rPr>
                <w:b/>
                <w:bCs/>
              </w:rPr>
            </w:pPr>
            <w:bookmarkStart w:id="6" w:name="_Hlk190849093"/>
            <w:r w:rsidRPr="000D4244">
              <w:rPr>
                <w:rFonts w:hint="eastAsia"/>
                <w:b/>
                <w:bCs/>
              </w:rPr>
              <w:t>商服設施及餘屋標售</w:t>
            </w:r>
            <w:bookmarkEnd w:id="6"/>
          </w:p>
        </w:tc>
        <w:tc>
          <w:tcPr>
            <w:tcW w:w="1707" w:type="dxa"/>
            <w:vMerge/>
            <w:shd w:val="clear" w:color="auto" w:fill="auto"/>
            <w:noWrap/>
            <w:vAlign w:val="center"/>
          </w:tcPr>
          <w:p w:rsidR="000D4244" w:rsidRPr="000D4244" w:rsidRDefault="000D4244" w:rsidP="000D4244">
            <w:pPr>
              <w:pStyle w:val="142"/>
            </w:pP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110</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121</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46</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1,187,780</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8</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3</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53,377</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6.61</w:t>
            </w:r>
          </w:p>
        </w:tc>
        <w:tc>
          <w:tcPr>
            <w:tcW w:w="1842" w:type="dxa"/>
            <w:shd w:val="clear" w:color="auto" w:fill="auto"/>
            <w:noWrap/>
            <w:vAlign w:val="center"/>
          </w:tcPr>
          <w:p w:rsidR="000D4244" w:rsidRPr="000D4244" w:rsidRDefault="000D4244" w:rsidP="000D4244">
            <w:pPr>
              <w:pStyle w:val="142"/>
              <w:jc w:val="right"/>
              <w:rPr>
                <w:rFonts w:hint="eastAsia"/>
                <w:b/>
                <w:bCs/>
                <w:snapToGrid/>
                <w:shd w:val="pct15" w:color="auto" w:fill="FFFFFF"/>
              </w:rPr>
            </w:pPr>
            <w:r w:rsidRPr="000D4244">
              <w:rPr>
                <w:rFonts w:hint="eastAsia"/>
                <w:b/>
                <w:bCs/>
                <w:snapToGrid/>
                <w:shd w:val="pct15" w:color="auto" w:fill="FFFFFF"/>
              </w:rPr>
              <w:t>6.52</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4.49</w:t>
            </w: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111</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26</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79</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1,085,796</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222</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28</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1,543,409</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853.85</w:t>
            </w:r>
          </w:p>
        </w:tc>
        <w:tc>
          <w:tcPr>
            <w:tcW w:w="1842" w:type="dxa"/>
            <w:shd w:val="clear" w:color="auto" w:fill="auto"/>
            <w:noWrap/>
            <w:vAlign w:val="center"/>
          </w:tcPr>
          <w:p w:rsidR="000D4244" w:rsidRPr="000D4244" w:rsidRDefault="000D4244" w:rsidP="000D4244">
            <w:pPr>
              <w:pStyle w:val="142"/>
              <w:jc w:val="right"/>
              <w:rPr>
                <w:b/>
                <w:bCs/>
              </w:rPr>
            </w:pPr>
            <w:r w:rsidRPr="000D4244">
              <w:rPr>
                <w:rFonts w:hint="eastAsia"/>
                <w:b/>
                <w:bCs/>
              </w:rPr>
              <w:t>35.44</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142.15</w:t>
            </w:r>
          </w:p>
        </w:tc>
      </w:tr>
      <w:tr w:rsidR="000D4244" w:rsidRPr="000D4244" w:rsidTr="00E33976">
        <w:trPr>
          <w:trHeight w:val="340"/>
        </w:trPr>
        <w:tc>
          <w:tcPr>
            <w:tcW w:w="960" w:type="dxa"/>
            <w:vMerge w:val="restart"/>
            <w:shd w:val="clear" w:color="auto" w:fill="auto"/>
            <w:noWrap/>
            <w:vAlign w:val="center"/>
            <w:hideMark/>
          </w:tcPr>
          <w:p w:rsidR="000D4244" w:rsidRPr="000D4244" w:rsidRDefault="000D4244" w:rsidP="000D4244">
            <w:pPr>
              <w:pStyle w:val="142"/>
              <w:jc w:val="center"/>
            </w:pPr>
            <w:r w:rsidRPr="000D4244">
              <w:rPr>
                <w:rFonts w:hint="eastAsia"/>
              </w:rPr>
              <w:t>112</w:t>
            </w: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預算數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17</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331,897</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pPr>
            <w:r w:rsidRPr="000D4244">
              <w:rPr>
                <w:rFonts w:hint="eastAsia"/>
              </w:rPr>
              <w:t>決算數</w:t>
            </w:r>
          </w:p>
        </w:tc>
        <w:tc>
          <w:tcPr>
            <w:tcW w:w="2127" w:type="dxa"/>
            <w:shd w:val="clear" w:color="auto" w:fill="auto"/>
            <w:noWrap/>
            <w:vAlign w:val="center"/>
            <w:hideMark/>
          </w:tcPr>
          <w:p w:rsidR="000D4244" w:rsidRPr="000D4244" w:rsidRDefault="000D4244" w:rsidP="000D4244">
            <w:pPr>
              <w:pStyle w:val="142"/>
              <w:jc w:val="right"/>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3</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45,142</w:t>
            </w:r>
          </w:p>
        </w:tc>
      </w:tr>
      <w:tr w:rsidR="000D4244" w:rsidRPr="000D4244" w:rsidTr="00E33976">
        <w:trPr>
          <w:trHeight w:val="340"/>
        </w:trPr>
        <w:tc>
          <w:tcPr>
            <w:tcW w:w="960" w:type="dxa"/>
            <w:vMerge/>
            <w:shd w:val="clear" w:color="auto" w:fill="auto"/>
            <w:noWrap/>
            <w:vAlign w:val="center"/>
            <w:hideMark/>
          </w:tcPr>
          <w:p w:rsidR="000D4244" w:rsidRPr="000D4244" w:rsidRDefault="000D4244" w:rsidP="000D4244">
            <w:pPr>
              <w:pStyle w:val="142"/>
              <w:jc w:val="center"/>
            </w:pPr>
          </w:p>
        </w:tc>
        <w:tc>
          <w:tcPr>
            <w:tcW w:w="1890" w:type="dxa"/>
            <w:shd w:val="clear" w:color="auto" w:fill="auto"/>
            <w:noWrap/>
            <w:vAlign w:val="center"/>
            <w:hideMark/>
          </w:tcPr>
          <w:p w:rsidR="000D4244" w:rsidRPr="000D4244" w:rsidRDefault="000D4244" w:rsidP="000D4244">
            <w:pPr>
              <w:pStyle w:val="142"/>
              <w:jc w:val="center"/>
              <w:rPr>
                <w:b/>
                <w:bCs/>
              </w:rPr>
            </w:pPr>
            <w:r w:rsidRPr="000D4244">
              <w:rPr>
                <w:rFonts w:hint="eastAsia"/>
                <w:b/>
                <w:bCs/>
              </w:rPr>
              <w:t>達成率</w:t>
            </w:r>
          </w:p>
        </w:tc>
        <w:tc>
          <w:tcPr>
            <w:tcW w:w="2127" w:type="dxa"/>
            <w:shd w:val="clear" w:color="auto" w:fill="auto"/>
            <w:noWrap/>
            <w:vAlign w:val="center"/>
            <w:hideMark/>
          </w:tcPr>
          <w:p w:rsidR="000D4244" w:rsidRPr="000D4244" w:rsidRDefault="000D4244" w:rsidP="000D4244">
            <w:pPr>
              <w:pStyle w:val="142"/>
              <w:jc w:val="right"/>
              <w:rPr>
                <w:b/>
                <w:bCs/>
              </w:rPr>
            </w:pPr>
            <w:r w:rsidRPr="000D4244">
              <w:rPr>
                <w:rFonts w:hint="eastAsia"/>
                <w:b/>
                <w:bCs/>
              </w:rPr>
              <w:t>-</w:t>
            </w:r>
          </w:p>
        </w:tc>
        <w:tc>
          <w:tcPr>
            <w:tcW w:w="1842" w:type="dxa"/>
            <w:shd w:val="clear" w:color="auto" w:fill="auto"/>
            <w:noWrap/>
            <w:vAlign w:val="center"/>
          </w:tcPr>
          <w:p w:rsidR="000D4244" w:rsidRPr="000D4244" w:rsidRDefault="000D4244" w:rsidP="000D4244">
            <w:pPr>
              <w:pStyle w:val="142"/>
              <w:jc w:val="right"/>
              <w:rPr>
                <w:b/>
                <w:bCs/>
              </w:rPr>
            </w:pPr>
            <w:r w:rsidRPr="000D4244">
              <w:rPr>
                <w:rFonts w:hint="eastAsia"/>
                <w:b/>
                <w:bCs/>
              </w:rPr>
              <w:t>17.65</w:t>
            </w:r>
          </w:p>
        </w:tc>
        <w:tc>
          <w:tcPr>
            <w:tcW w:w="1707" w:type="dxa"/>
            <w:shd w:val="clear" w:color="auto" w:fill="auto"/>
            <w:noWrap/>
            <w:vAlign w:val="center"/>
          </w:tcPr>
          <w:p w:rsidR="000D4244" w:rsidRPr="000D4244" w:rsidRDefault="000D4244" w:rsidP="000D4244">
            <w:pPr>
              <w:pStyle w:val="142"/>
              <w:jc w:val="right"/>
              <w:rPr>
                <w:b/>
                <w:bCs/>
              </w:rPr>
            </w:pPr>
            <w:r w:rsidRPr="000D4244">
              <w:rPr>
                <w:rFonts w:hint="eastAsia"/>
                <w:b/>
                <w:bCs/>
              </w:rPr>
              <w:t>13.6</w:t>
            </w:r>
          </w:p>
        </w:tc>
      </w:tr>
      <w:tr w:rsidR="000D4244" w:rsidRPr="000D4244" w:rsidTr="00E33976">
        <w:trPr>
          <w:trHeight w:val="340"/>
        </w:trPr>
        <w:tc>
          <w:tcPr>
            <w:tcW w:w="960" w:type="dxa"/>
            <w:vMerge w:val="restart"/>
            <w:shd w:val="clear" w:color="auto" w:fill="auto"/>
            <w:noWrap/>
            <w:vAlign w:val="center"/>
          </w:tcPr>
          <w:p w:rsidR="000D4244" w:rsidRPr="000D4244" w:rsidRDefault="000D4244" w:rsidP="000D4244">
            <w:pPr>
              <w:pStyle w:val="142"/>
              <w:jc w:val="center"/>
              <w:rPr>
                <w:rFonts w:hint="eastAsia"/>
              </w:rPr>
            </w:pPr>
            <w:r w:rsidRPr="000D4244">
              <w:rPr>
                <w:rFonts w:hint="eastAsia"/>
              </w:rPr>
              <w:t>113</w:t>
            </w:r>
          </w:p>
        </w:tc>
        <w:tc>
          <w:tcPr>
            <w:tcW w:w="1890" w:type="dxa"/>
            <w:shd w:val="clear" w:color="auto" w:fill="auto"/>
            <w:noWrap/>
            <w:vAlign w:val="center"/>
          </w:tcPr>
          <w:p w:rsidR="000D4244" w:rsidRPr="000D4244" w:rsidRDefault="000D4244" w:rsidP="000D4244">
            <w:pPr>
              <w:pStyle w:val="142"/>
              <w:jc w:val="center"/>
              <w:rPr>
                <w:rFonts w:hint="eastAsia"/>
              </w:rPr>
            </w:pPr>
            <w:r w:rsidRPr="000D4244">
              <w:rPr>
                <w:rFonts w:hint="eastAsia"/>
              </w:rPr>
              <w:t>預算數</w:t>
            </w:r>
          </w:p>
        </w:tc>
        <w:tc>
          <w:tcPr>
            <w:tcW w:w="2127" w:type="dxa"/>
            <w:shd w:val="clear" w:color="auto" w:fill="auto"/>
            <w:noWrap/>
            <w:vAlign w:val="center"/>
          </w:tcPr>
          <w:p w:rsidR="000D4244" w:rsidRPr="000D4244" w:rsidRDefault="000D4244" w:rsidP="000D4244">
            <w:pPr>
              <w:pStyle w:val="142"/>
              <w:jc w:val="right"/>
              <w:rPr>
                <w:rFonts w:hint="eastAsia"/>
              </w:rPr>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rPr>
                <w:rFonts w:hint="eastAsia"/>
              </w:rPr>
            </w:pPr>
            <w:r w:rsidRPr="000D4244">
              <w:rPr>
                <w:rFonts w:hint="eastAsia"/>
              </w:rPr>
              <w:t>17</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243,352</w:t>
            </w:r>
          </w:p>
        </w:tc>
      </w:tr>
      <w:tr w:rsidR="000D4244" w:rsidRPr="000D4244" w:rsidTr="00E33976">
        <w:trPr>
          <w:trHeight w:val="340"/>
        </w:trPr>
        <w:tc>
          <w:tcPr>
            <w:tcW w:w="960" w:type="dxa"/>
            <w:vMerge/>
            <w:shd w:val="clear" w:color="auto" w:fill="auto"/>
            <w:noWrap/>
            <w:vAlign w:val="center"/>
          </w:tcPr>
          <w:p w:rsidR="000D4244" w:rsidRPr="000D4244" w:rsidRDefault="000D4244" w:rsidP="000D4244">
            <w:pPr>
              <w:pStyle w:val="142"/>
              <w:jc w:val="center"/>
            </w:pPr>
          </w:p>
        </w:tc>
        <w:tc>
          <w:tcPr>
            <w:tcW w:w="1890" w:type="dxa"/>
            <w:shd w:val="clear" w:color="auto" w:fill="auto"/>
            <w:noWrap/>
            <w:vAlign w:val="center"/>
          </w:tcPr>
          <w:p w:rsidR="000D4244" w:rsidRPr="000D4244" w:rsidRDefault="000D4244" w:rsidP="000D4244">
            <w:pPr>
              <w:pStyle w:val="142"/>
              <w:jc w:val="center"/>
              <w:rPr>
                <w:rFonts w:hint="eastAsia"/>
              </w:rPr>
            </w:pPr>
            <w:r w:rsidRPr="000D4244">
              <w:rPr>
                <w:rFonts w:hint="eastAsia"/>
              </w:rPr>
              <w:t>決算數</w:t>
            </w:r>
          </w:p>
        </w:tc>
        <w:tc>
          <w:tcPr>
            <w:tcW w:w="2127" w:type="dxa"/>
            <w:shd w:val="clear" w:color="auto" w:fill="auto"/>
            <w:noWrap/>
            <w:vAlign w:val="center"/>
          </w:tcPr>
          <w:p w:rsidR="000D4244" w:rsidRPr="000D4244" w:rsidRDefault="000D4244" w:rsidP="000D4244">
            <w:pPr>
              <w:pStyle w:val="142"/>
              <w:jc w:val="right"/>
              <w:rPr>
                <w:rFonts w:hint="eastAsia"/>
              </w:rPr>
            </w:pPr>
            <w:r w:rsidRPr="000D4244">
              <w:rPr>
                <w:rFonts w:hint="eastAsia"/>
              </w:rPr>
              <w:t>-</w:t>
            </w:r>
          </w:p>
        </w:tc>
        <w:tc>
          <w:tcPr>
            <w:tcW w:w="1842" w:type="dxa"/>
            <w:shd w:val="clear" w:color="auto" w:fill="auto"/>
            <w:noWrap/>
            <w:vAlign w:val="center"/>
          </w:tcPr>
          <w:p w:rsidR="000D4244" w:rsidRPr="000D4244" w:rsidRDefault="000D4244" w:rsidP="000D4244">
            <w:pPr>
              <w:pStyle w:val="142"/>
              <w:jc w:val="right"/>
            </w:pPr>
            <w:r w:rsidRPr="000D4244">
              <w:rPr>
                <w:rFonts w:hint="eastAsia"/>
              </w:rPr>
              <w:t>5</w:t>
            </w:r>
          </w:p>
        </w:tc>
        <w:tc>
          <w:tcPr>
            <w:tcW w:w="1707" w:type="dxa"/>
            <w:shd w:val="clear" w:color="auto" w:fill="auto"/>
            <w:noWrap/>
            <w:vAlign w:val="center"/>
          </w:tcPr>
          <w:p w:rsidR="000D4244" w:rsidRPr="000D4244" w:rsidRDefault="000D4244" w:rsidP="000D4244">
            <w:pPr>
              <w:pStyle w:val="142"/>
              <w:jc w:val="right"/>
              <w:rPr>
                <w:rFonts w:hint="eastAsia"/>
              </w:rPr>
            </w:pPr>
            <w:r w:rsidRPr="000D4244">
              <w:rPr>
                <w:rFonts w:hint="eastAsia"/>
              </w:rPr>
              <w:t>115,489</w:t>
            </w:r>
          </w:p>
        </w:tc>
      </w:tr>
      <w:tr w:rsidR="000D4244" w:rsidRPr="000D4244" w:rsidTr="00E33976">
        <w:trPr>
          <w:trHeight w:val="340"/>
        </w:trPr>
        <w:tc>
          <w:tcPr>
            <w:tcW w:w="960" w:type="dxa"/>
            <w:vMerge/>
            <w:shd w:val="clear" w:color="auto" w:fill="auto"/>
            <w:noWrap/>
            <w:vAlign w:val="center"/>
          </w:tcPr>
          <w:p w:rsidR="000D4244" w:rsidRPr="000D4244" w:rsidRDefault="000D4244" w:rsidP="000D4244">
            <w:pPr>
              <w:pStyle w:val="142"/>
              <w:jc w:val="center"/>
            </w:pPr>
          </w:p>
        </w:tc>
        <w:tc>
          <w:tcPr>
            <w:tcW w:w="1890" w:type="dxa"/>
            <w:shd w:val="clear" w:color="auto" w:fill="auto"/>
            <w:noWrap/>
            <w:vAlign w:val="center"/>
          </w:tcPr>
          <w:p w:rsidR="000D4244" w:rsidRPr="000D4244" w:rsidRDefault="000D4244" w:rsidP="000D4244">
            <w:pPr>
              <w:pStyle w:val="142"/>
              <w:jc w:val="center"/>
              <w:rPr>
                <w:rFonts w:hint="eastAsia"/>
                <w:b/>
                <w:bCs/>
              </w:rPr>
            </w:pPr>
            <w:r w:rsidRPr="000D4244">
              <w:rPr>
                <w:rFonts w:hint="eastAsia"/>
                <w:b/>
                <w:bCs/>
              </w:rPr>
              <w:t>達成率</w:t>
            </w:r>
          </w:p>
        </w:tc>
        <w:tc>
          <w:tcPr>
            <w:tcW w:w="2127" w:type="dxa"/>
            <w:shd w:val="clear" w:color="auto" w:fill="auto"/>
            <w:noWrap/>
            <w:vAlign w:val="center"/>
          </w:tcPr>
          <w:p w:rsidR="000D4244" w:rsidRPr="000D4244" w:rsidRDefault="000D4244" w:rsidP="000D4244">
            <w:pPr>
              <w:pStyle w:val="142"/>
              <w:jc w:val="right"/>
              <w:rPr>
                <w:rFonts w:hint="eastAsia"/>
                <w:b/>
                <w:bCs/>
              </w:rPr>
            </w:pPr>
            <w:r w:rsidRPr="000D4244">
              <w:rPr>
                <w:rFonts w:hint="eastAsia"/>
                <w:b/>
                <w:bCs/>
              </w:rPr>
              <w:t>-</w:t>
            </w:r>
          </w:p>
        </w:tc>
        <w:tc>
          <w:tcPr>
            <w:tcW w:w="1842" w:type="dxa"/>
            <w:shd w:val="clear" w:color="auto" w:fill="auto"/>
            <w:noWrap/>
            <w:vAlign w:val="center"/>
          </w:tcPr>
          <w:p w:rsidR="000D4244" w:rsidRPr="000D4244" w:rsidRDefault="000D4244" w:rsidP="000D4244">
            <w:pPr>
              <w:pStyle w:val="142"/>
              <w:jc w:val="right"/>
              <w:rPr>
                <w:b/>
                <w:bCs/>
                <w:snapToGrid/>
                <w:shd w:val="pct15" w:color="auto" w:fill="FFFFFF"/>
              </w:rPr>
            </w:pPr>
            <w:r w:rsidRPr="000D4244">
              <w:rPr>
                <w:rFonts w:hint="eastAsia"/>
                <w:b/>
                <w:bCs/>
                <w:snapToGrid/>
                <w:shd w:val="pct15" w:color="auto" w:fill="FFFFFF"/>
              </w:rPr>
              <w:t>29.41</w:t>
            </w:r>
          </w:p>
        </w:tc>
        <w:tc>
          <w:tcPr>
            <w:tcW w:w="1707" w:type="dxa"/>
            <w:shd w:val="clear" w:color="auto" w:fill="auto"/>
            <w:noWrap/>
            <w:vAlign w:val="center"/>
          </w:tcPr>
          <w:p w:rsidR="000D4244" w:rsidRPr="000D4244" w:rsidRDefault="000D4244" w:rsidP="000D4244">
            <w:pPr>
              <w:pStyle w:val="142"/>
              <w:jc w:val="right"/>
              <w:rPr>
                <w:b/>
                <w:bCs/>
                <w:snapToGrid/>
                <w:shd w:val="pct15" w:color="auto" w:fill="FFFFFF"/>
              </w:rPr>
            </w:pPr>
            <w:r w:rsidRPr="000D4244">
              <w:rPr>
                <w:rFonts w:hint="eastAsia"/>
                <w:b/>
                <w:bCs/>
                <w:snapToGrid/>
                <w:shd w:val="pct15" w:color="auto" w:fill="FFFFFF"/>
              </w:rPr>
              <w:t>47.46</w:t>
            </w:r>
          </w:p>
        </w:tc>
      </w:tr>
    </w:tbl>
    <w:p w:rsidR="000D4244" w:rsidRPr="00F629AF" w:rsidRDefault="000D4244" w:rsidP="000D4244">
      <w:pPr>
        <w:spacing w:line="300" w:lineRule="exact"/>
        <w:ind w:leftChars="-14" w:left="1543" w:rightChars="101" w:right="286" w:hangingChars="651" w:hanging="1583"/>
        <w:rPr>
          <w:rFonts w:hAnsi="標楷體"/>
          <w:sz w:val="24"/>
        </w:rPr>
      </w:pPr>
      <w:r w:rsidRPr="00F629AF">
        <w:rPr>
          <w:rFonts w:hAnsi="標楷體" w:hint="eastAsia"/>
          <w:sz w:val="24"/>
        </w:rPr>
        <w:t>資料來源：眷改基金各年度決算書。</w:t>
      </w:r>
    </w:p>
    <w:p w:rsidR="000D4244" w:rsidRPr="00F629AF" w:rsidRDefault="000D4244" w:rsidP="000D4244">
      <w:pPr>
        <w:ind w:left="566" w:firstLine="566"/>
      </w:pPr>
      <w:r w:rsidRPr="00F629AF">
        <w:rPr>
          <w:rFonts w:hint="eastAsia"/>
        </w:rPr>
        <w:t>綜上，眷村改建業務經費需求龐大</w:t>
      </w:r>
      <w:r w:rsidRPr="004F4086">
        <w:rPr>
          <w:rFonts w:hint="eastAsia"/>
        </w:rPr>
        <w:t>，係採特別預算與作業基金搭配辦理，由眷改基金辦理工程，完工後按起造房地成本價售眷戶，維持基金收支平衡。該基金雖自111年度起轉絀為餘，113年底卻仍有逾千億元累積短絀待填補，惟近4個年度不動產價(標)售情形僅111年度較理想，其餘110、112及113等3個年度均</w:t>
      </w:r>
      <w:r w:rsidRPr="00F629AF">
        <w:rPr>
          <w:rFonts w:hint="eastAsia"/>
        </w:rPr>
        <w:t>欠佳，容須秉持財務管理原則加強執行，以期增裕收入，提升資產運用效益。</w:t>
      </w:r>
    </w:p>
    <w:bookmarkEnd w:id="1"/>
    <w:p w:rsidR="00E76845" w:rsidRPr="00B848F5" w:rsidRDefault="000D4244" w:rsidP="008176DE">
      <w:pPr>
        <w:pStyle w:val="ab"/>
        <w:ind w:left="566" w:firstLine="566"/>
        <w:rPr>
          <w:rFonts w:hAnsi="Calibri" w:hint="eastAsia"/>
          <w:snapToGrid/>
        </w:rPr>
      </w:pPr>
      <w:r w:rsidRPr="00F629AF">
        <w:rPr>
          <w:rFonts w:hint="eastAsia"/>
        </w:rPr>
        <w:t>（分機：1933 張峻萍）</w:t>
      </w:r>
      <w:bookmarkStart w:id="7" w:name="_GoBack"/>
      <w:bookmarkEnd w:id="7"/>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8176DE">
      <w:rPr>
        <w:rStyle w:val="af1"/>
        <w:noProof/>
      </w:rPr>
      <w:t>3</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 w:id="1">
    <w:p w:rsidR="000D4244" w:rsidRPr="00953346" w:rsidRDefault="000D4244" w:rsidP="000D4244">
      <w:pPr>
        <w:pStyle w:val="142"/>
        <w:ind w:leftChars="6" w:left="97" w:hangingChars="33" w:hanging="80"/>
        <w:jc w:val="both"/>
        <w:rPr>
          <w:rFonts w:hint="eastAsia"/>
        </w:rPr>
      </w:pPr>
      <w:r>
        <w:rPr>
          <w:rStyle w:val="af9"/>
        </w:rPr>
        <w:footnoteRef/>
      </w:r>
      <w:r w:rsidRPr="00363BC2">
        <w:rPr>
          <w:rFonts w:hint="eastAsia"/>
        </w:rPr>
        <w:t>資料來源，</w:t>
      </w:r>
      <w:r>
        <w:rPr>
          <w:rFonts w:hint="eastAsia"/>
        </w:rPr>
        <w:t>蘇國豪</w:t>
      </w:r>
      <w:r w:rsidRPr="00363BC2">
        <w:rPr>
          <w:rFonts w:hint="eastAsia"/>
        </w:rPr>
        <w:t>，「</w:t>
      </w:r>
      <w:r>
        <w:rPr>
          <w:rFonts w:hint="eastAsia"/>
        </w:rPr>
        <w:t>特種基金營運資金管理發展歷程與展望</w:t>
      </w:r>
      <w:r w:rsidRPr="00363BC2">
        <w:rPr>
          <w:rFonts w:hint="eastAsia"/>
        </w:rPr>
        <w:t>」，</w:t>
      </w:r>
      <w:r w:rsidRPr="00363BC2">
        <w:t>108</w:t>
      </w:r>
      <w:r>
        <w:rPr>
          <w:rFonts w:hint="eastAsia"/>
        </w:rPr>
        <w:t>年</w:t>
      </w:r>
      <w:r w:rsidRPr="00363BC2">
        <w:t>10</w:t>
      </w:r>
      <w:r>
        <w:rPr>
          <w:rFonts w:hint="eastAsia"/>
        </w:rPr>
        <w:t>月</w:t>
      </w:r>
      <w:r w:rsidRPr="00363BC2">
        <w:rPr>
          <w:rFonts w:hint="eastAsia"/>
        </w:rPr>
        <w:t>，主計季刊。</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176DE"/>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16A012-AD0E-4841-B556-61F629318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64586-F908-489D-8105-3B8E4687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273</Words>
  <Characters>1558</Characters>
  <Application>Microsoft Office Word</Application>
  <DocSecurity>0</DocSecurity>
  <Lines>12</Lines>
  <Paragraphs>3</Paragraphs>
  <ScaleCrop>false</ScaleCrop>
  <Company/>
  <LinksUpToDate>false</LinksUpToDate>
  <CharactersWithSpaces>1828</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