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A71" w:rsidRDefault="000D4244" w:rsidP="00F22A71">
      <w:pPr>
        <w:pStyle w:val="aa"/>
        <w:jc w:val="left"/>
        <w:rPr>
          <w:szCs w:val="36"/>
        </w:rPr>
      </w:pPr>
      <w:r w:rsidRPr="000D4244">
        <w:rPr>
          <w:rFonts w:hint="eastAsia"/>
          <w:szCs w:val="36"/>
        </w:rPr>
        <w:t>國防部主管非營業基金</w:t>
      </w:r>
      <w:r w:rsidR="000D0062" w:rsidRPr="00BE47BE">
        <w:rPr>
          <w:rFonts w:hint="eastAsia"/>
          <w:szCs w:val="36"/>
        </w:rPr>
        <w:t>1</w:t>
      </w:r>
      <w:r w:rsidR="00AA195E" w:rsidRPr="00BE47BE">
        <w:rPr>
          <w:rFonts w:hint="eastAsia"/>
          <w:szCs w:val="36"/>
        </w:rPr>
        <w:t>1</w:t>
      </w:r>
      <w:r w:rsidR="00A364E2" w:rsidRPr="00BE47BE">
        <w:rPr>
          <w:szCs w:val="36"/>
        </w:rPr>
        <w:t>3</w:t>
      </w:r>
      <w:r w:rsidR="000D0062" w:rsidRPr="00BE47BE">
        <w:rPr>
          <w:rFonts w:hint="eastAsia"/>
          <w:szCs w:val="36"/>
        </w:rPr>
        <w:t>年度決算評估報告</w:t>
      </w:r>
    </w:p>
    <w:p w:rsidR="00E76845" w:rsidRPr="00DC2208" w:rsidRDefault="00595897" w:rsidP="00E76845">
      <w:pPr>
        <w:pStyle w:val="14"/>
        <w:ind w:left="567" w:hanging="567"/>
      </w:pPr>
      <w:bookmarkStart w:id="0" w:name="_Toc181963668"/>
      <w:bookmarkStart w:id="1" w:name="_Toc225416692"/>
      <w:bookmarkStart w:id="2" w:name="_Toc225435019"/>
      <w:r>
        <w:rPr>
          <w:rFonts w:hint="eastAsia"/>
        </w:rPr>
        <w:t>五</w:t>
      </w:r>
      <w:r w:rsidR="00E76845" w:rsidRPr="000A4881">
        <w:rPr>
          <w:rFonts w:hint="eastAsia"/>
        </w:rPr>
        <w:t>、營改基金1</w:t>
      </w:r>
      <w:r w:rsidR="00E76845" w:rsidRPr="000A4881">
        <w:t>1</w:t>
      </w:r>
      <w:r w:rsidR="00E76845">
        <w:rPr>
          <w:rFonts w:hint="eastAsia"/>
        </w:rPr>
        <w:t>3</w:t>
      </w:r>
      <w:r w:rsidR="00E76845" w:rsidRPr="000A4881">
        <w:rPr>
          <w:rFonts w:hint="eastAsia"/>
        </w:rPr>
        <w:t>年度</w:t>
      </w:r>
      <w:r w:rsidR="00E76845">
        <w:rPr>
          <w:rFonts w:hint="eastAsia"/>
        </w:rPr>
        <w:t>決算</w:t>
      </w:r>
      <w:r w:rsidR="00E76845" w:rsidRPr="000A4881">
        <w:rPr>
          <w:rFonts w:hint="eastAsia"/>
        </w:rPr>
        <w:t>短絀</w:t>
      </w:r>
      <w:r w:rsidR="00E76845">
        <w:rPr>
          <w:rFonts w:hint="eastAsia"/>
        </w:rPr>
        <w:t>逾300</w:t>
      </w:r>
      <w:r w:rsidR="00E76845" w:rsidRPr="000A4881">
        <w:rPr>
          <w:rFonts w:hint="eastAsia"/>
        </w:rPr>
        <w:t>億元，</w:t>
      </w:r>
      <w:r w:rsidR="00E76845" w:rsidRPr="00770F2B">
        <w:rPr>
          <w:rFonts w:hint="eastAsia"/>
        </w:rPr>
        <w:t>為</w:t>
      </w:r>
      <w:r w:rsidR="00E76845">
        <w:rPr>
          <w:rFonts w:hint="eastAsia"/>
        </w:rPr>
        <w:t>近</w:t>
      </w:r>
      <w:r w:rsidR="00E76845" w:rsidRPr="00770F2B">
        <w:rPr>
          <w:rFonts w:hint="eastAsia"/>
        </w:rPr>
        <w:t>年</w:t>
      </w:r>
      <w:r w:rsidR="00E76845">
        <w:rPr>
          <w:rFonts w:hint="eastAsia"/>
        </w:rPr>
        <w:t>最</w:t>
      </w:r>
      <w:r w:rsidR="00E76845" w:rsidRPr="00770F2B">
        <w:rPr>
          <w:rFonts w:hint="eastAsia"/>
        </w:rPr>
        <w:t>高</w:t>
      </w:r>
      <w:r w:rsidR="00E76845">
        <w:rPr>
          <w:rFonts w:hint="eastAsia"/>
        </w:rPr>
        <w:t>，且部分</w:t>
      </w:r>
      <w:r w:rsidR="00E76845" w:rsidRPr="00206EBD">
        <w:rPr>
          <w:rFonts w:hint="eastAsia"/>
        </w:rPr>
        <w:t>計畫</w:t>
      </w:r>
      <w:r w:rsidR="00E76845" w:rsidRPr="00770F2B">
        <w:rPr>
          <w:rFonts w:hint="eastAsia"/>
        </w:rPr>
        <w:t>先行辦理數</w:t>
      </w:r>
      <w:r w:rsidR="00E76845">
        <w:rPr>
          <w:rFonts w:hint="eastAsia"/>
        </w:rPr>
        <w:t>金額龐</w:t>
      </w:r>
      <w:r w:rsidR="00E76845" w:rsidRPr="00DC2208">
        <w:rPr>
          <w:rFonts w:hint="eastAsia"/>
        </w:rPr>
        <w:t>鉅，預算編列未盡核實</w:t>
      </w:r>
      <w:bookmarkEnd w:id="0"/>
      <w:r w:rsidR="00E76845" w:rsidRPr="00DC2208">
        <w:rPr>
          <w:rFonts w:hint="eastAsia"/>
        </w:rPr>
        <w:t>，允宜檢討改善</w:t>
      </w:r>
      <w:bookmarkEnd w:id="1"/>
      <w:bookmarkEnd w:id="2"/>
    </w:p>
    <w:p w:rsidR="00E76845" w:rsidRPr="003F55D8" w:rsidRDefault="00E76845" w:rsidP="00E76845">
      <w:pPr>
        <w:ind w:left="566" w:firstLine="566"/>
      </w:pPr>
      <w:r w:rsidRPr="00DC2208">
        <w:rPr>
          <w:rFonts w:hint="eastAsia"/>
        </w:rPr>
        <w:t>國軍營舍及設施改建基金(以下簡稱營改基金)113年度預算基金來源與基金用途相抵後，</w:t>
      </w:r>
      <w:r w:rsidRPr="003F55D8">
        <w:rPr>
          <w:rFonts w:hint="eastAsia"/>
        </w:rPr>
        <w:t>預計短絀145億9,839萬6千元，執行結果，決算數短絀315億6,491萬6千元，較預算數增加169億6,652萬元(增幅116.22%)。經查：</w:t>
      </w:r>
    </w:p>
    <w:p w:rsidR="00E76845" w:rsidRPr="003F55D8" w:rsidRDefault="00E76845" w:rsidP="00E76845">
      <w:pPr>
        <w:pStyle w:val="a4"/>
        <w:ind w:left="849" w:hanging="283"/>
        <w:rPr>
          <w:rFonts w:hint="eastAsia"/>
          <w:b/>
        </w:rPr>
      </w:pPr>
      <w:r w:rsidRPr="003F55D8">
        <w:rPr>
          <w:rFonts w:hint="eastAsia"/>
          <w:b/>
        </w:rPr>
        <w:t>(一)應確實掌握可納列基金之財源與流入時程規劃工程並於年度終結時檢討</w:t>
      </w:r>
    </w:p>
    <w:p w:rsidR="00E76845" w:rsidRPr="003F55D8" w:rsidRDefault="00E76845" w:rsidP="00E76845">
      <w:pPr>
        <w:pStyle w:val="21"/>
        <w:ind w:left="850" w:firstLine="566"/>
        <w:rPr>
          <w:rFonts w:hAnsi="標楷體" w:hint="eastAsia"/>
        </w:rPr>
      </w:pPr>
      <w:r w:rsidRPr="00DC2208">
        <w:rPr>
          <w:rFonts w:hint="eastAsia"/>
        </w:rPr>
        <w:t>依113年度「附屬單位預算共同項目編列作業規範」第參、乙、1點規定：「各基金應按基金設立之目的，依據其收支保管及運用辦法(自治條例)暨相關法令規定或政府重大建設計畫所定之財源及用途，評估業務實需，擬具業務計畫後，按計畫別逐一編列，並應敘明計畫內容及預期成果。</w:t>
      </w:r>
      <w:r w:rsidRPr="00DC2208">
        <w:rPr>
          <w:rFonts w:hAnsi="標楷體" w:hint="eastAsia"/>
        </w:rPr>
        <w:t>」次據「附屬單位預算執行要點」第4點規定：「各</w:t>
      </w:r>
      <w:r w:rsidRPr="003F55D8">
        <w:rPr>
          <w:rFonts w:hAnsi="標楷體" w:hint="eastAsia"/>
        </w:rPr>
        <w:t>基金應依分期實施計畫及收支估計表切實執行。…。」、第</w:t>
      </w:r>
      <w:r>
        <w:rPr>
          <w:rFonts w:hAnsi="標楷體" w:hint="eastAsia"/>
        </w:rPr>
        <w:t>6</w:t>
      </w:r>
      <w:r w:rsidRPr="003F55D8">
        <w:rPr>
          <w:rFonts w:hAnsi="標楷體" w:hint="eastAsia"/>
        </w:rPr>
        <w:t>點規定：「各基金年度預算執行績效及計畫執行進度，除作為年度考核之依據外，並供作核列以後年度預算之重要參考。」據此，營改基金宜審慎評估可納列基金之財源與資金撥付時程，在可用資金範圍及期程內，詳實規劃辦理各項營舍設施工程，同時於年度終結時檢討計畫進度及執行情形，作為預算編製參考。</w:t>
      </w:r>
    </w:p>
    <w:p w:rsidR="00E76845" w:rsidRPr="00DC2208" w:rsidRDefault="00E76845" w:rsidP="00E76845">
      <w:pPr>
        <w:pStyle w:val="a4"/>
        <w:ind w:left="849" w:hanging="283"/>
        <w:rPr>
          <w:b/>
          <w:bCs/>
        </w:rPr>
      </w:pPr>
      <w:r w:rsidRPr="003F55D8">
        <w:rPr>
          <w:b/>
          <w:bCs/>
        </w:rPr>
        <w:t>(二)</w:t>
      </w:r>
      <w:r w:rsidRPr="003F55D8">
        <w:rPr>
          <w:rFonts w:hint="eastAsia"/>
          <w:b/>
          <w:bCs/>
        </w:rPr>
        <w:t>113年度決算短絀逾300億元，為近年最高</w:t>
      </w:r>
      <w:r w:rsidRPr="00DC2208">
        <w:rPr>
          <w:rFonts w:hint="eastAsia"/>
          <w:b/>
          <w:bCs/>
        </w:rPr>
        <w:t>；又近2年度餘絀預決算差異數顯著擴增，預算編列未盡核實</w:t>
      </w:r>
    </w:p>
    <w:p w:rsidR="00E76845" w:rsidRDefault="00E76845" w:rsidP="00E76845">
      <w:pPr>
        <w:pStyle w:val="21"/>
        <w:ind w:left="850" w:firstLine="566"/>
      </w:pPr>
      <w:r w:rsidRPr="00DC2208">
        <w:rPr>
          <w:rFonts w:hint="eastAsia"/>
        </w:rPr>
        <w:t>參據營改基金年度餘絀情形(詳表1)，106至110年度決算基金來源與用途相</w:t>
      </w:r>
      <w:r w:rsidRPr="003F55D8">
        <w:rPr>
          <w:rFonts w:hint="eastAsia"/>
        </w:rPr>
        <w:t>抵後尚有賸餘，自111年度起由餘轉絀且短絀持續擴大，自111年度短絀22.90億</w:t>
      </w:r>
      <w:r>
        <w:rPr>
          <w:rFonts w:hint="eastAsia"/>
        </w:rPr>
        <w:t>餘</w:t>
      </w:r>
      <w:r w:rsidRPr="003F55D8">
        <w:rPr>
          <w:rFonts w:hint="eastAsia"/>
        </w:rPr>
        <w:t>元劇增至113年度短</w:t>
      </w:r>
      <w:r w:rsidRPr="003F55D8">
        <w:rPr>
          <w:rFonts w:hint="eastAsia"/>
        </w:rPr>
        <w:lastRenderedPageBreak/>
        <w:t>絀</w:t>
      </w:r>
      <w:r w:rsidRPr="003F55D8">
        <w:t>315</w:t>
      </w:r>
      <w:r w:rsidRPr="003F55D8">
        <w:rPr>
          <w:rFonts w:hint="eastAsia"/>
        </w:rPr>
        <w:t>.</w:t>
      </w:r>
      <w:r w:rsidRPr="003F55D8">
        <w:t>64</w:t>
      </w:r>
      <w:r w:rsidRPr="003F55D8">
        <w:rPr>
          <w:rFonts w:hint="eastAsia"/>
        </w:rPr>
        <w:t>億餘元，為近年最高，增加幅度高達12.78倍；另107年度餘絀預決算差異數較106年度大幅增加，雖於108年度起縮小至低於90億元，惟</w:t>
      </w:r>
      <w:r w:rsidRPr="00DC2208">
        <w:rPr>
          <w:rFonts w:hint="eastAsia"/>
        </w:rPr>
        <w:t>近2年度(112及113年度)差</w:t>
      </w:r>
      <w:r w:rsidRPr="003F55D8">
        <w:rPr>
          <w:rFonts w:hint="eastAsia"/>
        </w:rPr>
        <w:t>異數復</w:t>
      </w:r>
      <w:r>
        <w:rPr>
          <w:rFonts w:hint="eastAsia"/>
        </w:rPr>
        <w:t>顯著</w:t>
      </w:r>
      <w:r w:rsidRPr="003F55D8">
        <w:rPr>
          <w:rFonts w:hint="eastAsia"/>
        </w:rPr>
        <w:t>擴增至百億元以上，分別為</w:t>
      </w:r>
      <w:r w:rsidRPr="003F55D8">
        <w:t>176</w:t>
      </w:r>
      <w:r w:rsidRPr="003F55D8">
        <w:rPr>
          <w:rFonts w:hint="eastAsia"/>
        </w:rPr>
        <w:t>.</w:t>
      </w:r>
      <w:r w:rsidRPr="003F55D8">
        <w:t>9</w:t>
      </w:r>
      <w:r w:rsidRPr="003F55D8">
        <w:rPr>
          <w:rFonts w:hint="eastAsia"/>
        </w:rPr>
        <w:t>0億餘元及</w:t>
      </w:r>
      <w:r w:rsidRPr="003F55D8">
        <w:t>169</w:t>
      </w:r>
      <w:r w:rsidRPr="003F55D8">
        <w:rPr>
          <w:rFonts w:hint="eastAsia"/>
        </w:rPr>
        <w:t>.</w:t>
      </w:r>
      <w:r w:rsidRPr="003F55D8">
        <w:t>66</w:t>
      </w:r>
      <w:r w:rsidRPr="003F55D8">
        <w:rPr>
          <w:rFonts w:hint="eastAsia"/>
        </w:rPr>
        <w:t>億餘元，</w:t>
      </w:r>
      <w:r>
        <w:rPr>
          <w:rFonts w:hint="eastAsia"/>
        </w:rPr>
        <w:t>主要係基金用途超支</w:t>
      </w:r>
      <w:r>
        <w:t>109</w:t>
      </w:r>
      <w:r>
        <w:rPr>
          <w:rFonts w:hint="eastAsia"/>
        </w:rPr>
        <w:t>.68億餘元及</w:t>
      </w:r>
      <w:r>
        <w:t>117</w:t>
      </w:r>
      <w:r>
        <w:rPr>
          <w:rFonts w:hint="eastAsia"/>
        </w:rPr>
        <w:t>.</w:t>
      </w:r>
      <w:r>
        <w:t>16</w:t>
      </w:r>
      <w:r>
        <w:rPr>
          <w:rFonts w:hint="eastAsia"/>
        </w:rPr>
        <w:t>億餘元，</w:t>
      </w:r>
      <w:r w:rsidRPr="00F913FC">
        <w:rPr>
          <w:rFonts w:hint="eastAsia"/>
        </w:rPr>
        <w:t>致年度短絀規模超出預期</w:t>
      </w:r>
      <w:r>
        <w:rPr>
          <w:rFonts w:hint="eastAsia"/>
        </w:rPr>
        <w:t>，容顯預算編列未盡核實</w:t>
      </w:r>
      <w:r w:rsidRPr="00A3249C">
        <w:rPr>
          <w:rFonts w:hint="eastAsia"/>
        </w:rPr>
        <w:t>。</w:t>
      </w:r>
    </w:p>
    <w:p w:rsidR="00E76845" w:rsidRPr="00F913FC" w:rsidRDefault="00E76845" w:rsidP="00E76845">
      <w:pPr>
        <w:adjustRightInd w:val="0"/>
        <w:ind w:leftChars="0" w:left="0" w:firstLineChars="0" w:firstLine="0"/>
        <w:rPr>
          <w:rFonts w:hAnsi="標楷體" w:hint="eastAsia"/>
          <w:sz w:val="24"/>
          <w:szCs w:val="24"/>
        </w:rPr>
      </w:pPr>
      <w:r w:rsidRPr="00F913FC">
        <w:rPr>
          <w:rFonts w:hAnsi="標楷體" w:hint="eastAsia"/>
          <w:b/>
          <w:smallCaps/>
          <w:snapToGrid/>
          <w:color w:val="000000"/>
        </w:rPr>
        <w:t>表</w:t>
      </w:r>
      <w:r w:rsidRPr="00F913FC">
        <w:rPr>
          <w:rFonts w:hAnsi="標楷體"/>
          <w:b/>
          <w:smallCaps/>
          <w:snapToGrid/>
          <w:color w:val="000000"/>
        </w:rPr>
        <w:t>1</w:t>
      </w:r>
      <w:r w:rsidRPr="00F913FC">
        <w:rPr>
          <w:rFonts w:hAnsi="標楷體" w:hint="eastAsia"/>
          <w:b/>
          <w:smallCaps/>
          <w:snapToGrid/>
          <w:color w:val="000000"/>
        </w:rPr>
        <w:t xml:space="preserve"> </w:t>
      </w:r>
      <w:r w:rsidRPr="00F913FC">
        <w:rPr>
          <w:rFonts w:hAnsi="標楷體" w:hint="eastAsia"/>
          <w:b/>
        </w:rPr>
        <w:t>營改基金10</w:t>
      </w:r>
      <w:r w:rsidRPr="00F913FC">
        <w:rPr>
          <w:rFonts w:hAnsi="標楷體"/>
          <w:b/>
        </w:rPr>
        <w:t>6</w:t>
      </w:r>
      <w:r w:rsidRPr="00F913FC">
        <w:rPr>
          <w:rFonts w:hAnsi="標楷體" w:hint="eastAsia"/>
          <w:b/>
          <w:lang w:eastAsia="zh-HK"/>
        </w:rPr>
        <w:t>至</w:t>
      </w:r>
      <w:r w:rsidRPr="00F913FC">
        <w:rPr>
          <w:rFonts w:hAnsi="標楷體" w:hint="eastAsia"/>
          <w:b/>
        </w:rPr>
        <w:t xml:space="preserve">113年度餘絀預決算概況表  </w:t>
      </w:r>
      <w:r w:rsidRPr="00F913FC">
        <w:rPr>
          <w:rFonts w:hAnsi="標楷體" w:hint="eastAsia"/>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60"/>
        <w:gridCol w:w="1984"/>
        <w:gridCol w:w="1701"/>
        <w:gridCol w:w="1701"/>
        <w:gridCol w:w="1559"/>
      </w:tblGrid>
      <w:tr w:rsidR="00E76845" w:rsidRPr="00E76845" w:rsidTr="00E33976">
        <w:trPr>
          <w:tblHeader/>
        </w:trPr>
        <w:tc>
          <w:tcPr>
            <w:tcW w:w="1560" w:type="dxa"/>
            <w:vMerge w:val="restart"/>
            <w:shd w:val="clear" w:color="auto" w:fill="auto"/>
            <w:vAlign w:val="center"/>
          </w:tcPr>
          <w:p w:rsidR="00E76845" w:rsidRPr="00E76845" w:rsidRDefault="00E76845" w:rsidP="00E76845">
            <w:pPr>
              <w:pStyle w:val="142"/>
              <w:jc w:val="center"/>
              <w:rPr>
                <w:b/>
                <w:bCs/>
              </w:rPr>
            </w:pPr>
            <w:r w:rsidRPr="00E76845">
              <w:rPr>
                <w:rFonts w:hint="eastAsia"/>
                <w:b/>
                <w:bCs/>
              </w:rPr>
              <w:t>年度</w:t>
            </w:r>
          </w:p>
        </w:tc>
        <w:tc>
          <w:tcPr>
            <w:tcW w:w="1984" w:type="dxa"/>
            <w:vMerge w:val="restart"/>
            <w:shd w:val="clear" w:color="auto" w:fill="auto"/>
            <w:vAlign w:val="center"/>
          </w:tcPr>
          <w:p w:rsidR="00E76845" w:rsidRPr="00E76845" w:rsidRDefault="00E76845" w:rsidP="00E76845">
            <w:pPr>
              <w:pStyle w:val="142"/>
              <w:jc w:val="center"/>
              <w:rPr>
                <w:b/>
                <w:bCs/>
              </w:rPr>
            </w:pPr>
            <w:r w:rsidRPr="00E76845">
              <w:rPr>
                <w:rFonts w:hint="eastAsia"/>
                <w:b/>
                <w:bCs/>
              </w:rPr>
              <w:t>預算數(1)</w:t>
            </w:r>
          </w:p>
        </w:tc>
        <w:tc>
          <w:tcPr>
            <w:tcW w:w="1701" w:type="dxa"/>
            <w:vMerge w:val="restart"/>
            <w:shd w:val="clear" w:color="auto" w:fill="auto"/>
            <w:vAlign w:val="center"/>
          </w:tcPr>
          <w:p w:rsidR="00E76845" w:rsidRPr="00E76845" w:rsidRDefault="00E76845" w:rsidP="00E76845">
            <w:pPr>
              <w:pStyle w:val="142"/>
              <w:jc w:val="center"/>
              <w:rPr>
                <w:b/>
                <w:bCs/>
              </w:rPr>
            </w:pPr>
            <w:r w:rsidRPr="00E76845">
              <w:rPr>
                <w:rFonts w:hint="eastAsia"/>
                <w:b/>
                <w:bCs/>
              </w:rPr>
              <w:t>決算數(2)</w:t>
            </w:r>
          </w:p>
        </w:tc>
        <w:tc>
          <w:tcPr>
            <w:tcW w:w="3260" w:type="dxa"/>
            <w:gridSpan w:val="2"/>
            <w:shd w:val="clear" w:color="auto" w:fill="auto"/>
            <w:vAlign w:val="center"/>
          </w:tcPr>
          <w:p w:rsidR="00E76845" w:rsidRPr="00E76845" w:rsidRDefault="00E76845" w:rsidP="00E76845">
            <w:pPr>
              <w:pStyle w:val="142"/>
              <w:jc w:val="center"/>
              <w:rPr>
                <w:b/>
                <w:bCs/>
              </w:rPr>
            </w:pPr>
            <w:r w:rsidRPr="00E76845">
              <w:rPr>
                <w:rFonts w:hint="eastAsia"/>
                <w:b/>
                <w:bCs/>
              </w:rPr>
              <w:t>決算數與預算數增減比較</w:t>
            </w:r>
          </w:p>
        </w:tc>
      </w:tr>
      <w:tr w:rsidR="00E76845" w:rsidRPr="00E76845" w:rsidTr="00E33976">
        <w:trPr>
          <w:tblHeader/>
        </w:trPr>
        <w:tc>
          <w:tcPr>
            <w:tcW w:w="1560" w:type="dxa"/>
            <w:vMerge/>
            <w:shd w:val="clear" w:color="auto" w:fill="auto"/>
          </w:tcPr>
          <w:p w:rsidR="00E76845" w:rsidRPr="00E76845" w:rsidRDefault="00E76845" w:rsidP="00E76845">
            <w:pPr>
              <w:pStyle w:val="142"/>
              <w:jc w:val="center"/>
              <w:rPr>
                <w:b/>
                <w:bCs/>
              </w:rPr>
            </w:pPr>
          </w:p>
        </w:tc>
        <w:tc>
          <w:tcPr>
            <w:tcW w:w="1984" w:type="dxa"/>
            <w:vMerge/>
            <w:shd w:val="clear" w:color="auto" w:fill="auto"/>
          </w:tcPr>
          <w:p w:rsidR="00E76845" w:rsidRPr="00E76845" w:rsidRDefault="00E76845" w:rsidP="00E76845">
            <w:pPr>
              <w:pStyle w:val="142"/>
              <w:jc w:val="center"/>
              <w:rPr>
                <w:b/>
                <w:bCs/>
              </w:rPr>
            </w:pPr>
          </w:p>
        </w:tc>
        <w:tc>
          <w:tcPr>
            <w:tcW w:w="1701" w:type="dxa"/>
            <w:vMerge/>
            <w:shd w:val="clear" w:color="auto" w:fill="auto"/>
          </w:tcPr>
          <w:p w:rsidR="00E76845" w:rsidRPr="00E76845" w:rsidRDefault="00E76845" w:rsidP="00E76845">
            <w:pPr>
              <w:pStyle w:val="142"/>
              <w:jc w:val="center"/>
              <w:rPr>
                <w:b/>
                <w:bCs/>
              </w:rPr>
            </w:pPr>
          </w:p>
        </w:tc>
        <w:tc>
          <w:tcPr>
            <w:tcW w:w="1701" w:type="dxa"/>
            <w:shd w:val="clear" w:color="auto" w:fill="auto"/>
            <w:vAlign w:val="center"/>
          </w:tcPr>
          <w:p w:rsidR="00E76845" w:rsidRPr="00E76845" w:rsidRDefault="00E76845" w:rsidP="00E76845">
            <w:pPr>
              <w:pStyle w:val="142"/>
              <w:jc w:val="center"/>
              <w:rPr>
                <w:b/>
                <w:bCs/>
              </w:rPr>
            </w:pPr>
            <w:r w:rsidRPr="00E76845">
              <w:rPr>
                <w:rFonts w:hint="eastAsia"/>
                <w:b/>
                <w:bCs/>
              </w:rPr>
              <w:t>金額(</w:t>
            </w:r>
            <w:r w:rsidRPr="00E76845">
              <w:rPr>
                <w:b/>
                <w:bCs/>
              </w:rPr>
              <w:t>3)=</w:t>
            </w:r>
          </w:p>
          <w:p w:rsidR="00E76845" w:rsidRPr="00E76845" w:rsidRDefault="00E76845" w:rsidP="00E76845">
            <w:pPr>
              <w:pStyle w:val="142"/>
              <w:jc w:val="center"/>
              <w:rPr>
                <w:b/>
                <w:bCs/>
              </w:rPr>
            </w:pPr>
            <w:r w:rsidRPr="00E76845">
              <w:rPr>
                <w:rFonts w:hint="eastAsia"/>
                <w:b/>
                <w:bCs/>
              </w:rPr>
              <w:t>(2)-(1)</w:t>
            </w:r>
          </w:p>
        </w:tc>
        <w:tc>
          <w:tcPr>
            <w:tcW w:w="1559" w:type="dxa"/>
            <w:shd w:val="clear" w:color="auto" w:fill="auto"/>
            <w:vAlign w:val="center"/>
          </w:tcPr>
          <w:p w:rsidR="00E76845" w:rsidRPr="00E76845" w:rsidRDefault="00E76845" w:rsidP="00E76845">
            <w:pPr>
              <w:pStyle w:val="142"/>
              <w:jc w:val="center"/>
              <w:rPr>
                <w:b/>
                <w:bCs/>
              </w:rPr>
            </w:pPr>
            <w:r w:rsidRPr="00E76845">
              <w:rPr>
                <w:rFonts w:hint="eastAsia"/>
                <w:b/>
                <w:bCs/>
              </w:rPr>
              <w:t>比率</w:t>
            </w:r>
          </w:p>
          <w:p w:rsidR="00E76845" w:rsidRPr="00E76845" w:rsidRDefault="00E76845" w:rsidP="00E76845">
            <w:pPr>
              <w:pStyle w:val="142"/>
              <w:jc w:val="center"/>
              <w:rPr>
                <w:b/>
                <w:bCs/>
              </w:rPr>
            </w:pPr>
            <w:r w:rsidRPr="00E76845">
              <w:rPr>
                <w:rFonts w:hint="eastAsia"/>
                <w:b/>
                <w:bCs/>
              </w:rPr>
              <w:t>(</w:t>
            </w:r>
            <w:r w:rsidRPr="00E76845">
              <w:rPr>
                <w:b/>
                <w:bCs/>
              </w:rPr>
              <w:t>3)/ (1)</w:t>
            </w:r>
          </w:p>
        </w:tc>
      </w:tr>
      <w:tr w:rsidR="00E76845" w:rsidRPr="00E76845" w:rsidTr="00E33976">
        <w:tc>
          <w:tcPr>
            <w:tcW w:w="1560" w:type="dxa"/>
            <w:shd w:val="clear" w:color="auto" w:fill="auto"/>
            <w:vAlign w:val="center"/>
          </w:tcPr>
          <w:p w:rsidR="00E76845" w:rsidRPr="00E76845" w:rsidRDefault="00E76845" w:rsidP="00E76845">
            <w:pPr>
              <w:pStyle w:val="142"/>
              <w:jc w:val="center"/>
            </w:pPr>
            <w:r w:rsidRPr="00E76845">
              <w:rPr>
                <w:rFonts w:hint="eastAsia"/>
              </w:rPr>
              <w:t>106</w:t>
            </w:r>
          </w:p>
        </w:tc>
        <w:tc>
          <w:tcPr>
            <w:tcW w:w="1984" w:type="dxa"/>
            <w:shd w:val="clear" w:color="auto" w:fill="auto"/>
            <w:vAlign w:val="center"/>
          </w:tcPr>
          <w:p w:rsidR="00E76845" w:rsidRPr="00E76845" w:rsidRDefault="00E76845" w:rsidP="00E76845">
            <w:pPr>
              <w:pStyle w:val="142"/>
              <w:jc w:val="right"/>
            </w:pPr>
            <w:r w:rsidRPr="00E76845">
              <w:rPr>
                <w:rFonts w:hint="eastAsia"/>
              </w:rPr>
              <w:t>3,088,271</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2,412,948</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-675,323</w:t>
            </w:r>
          </w:p>
        </w:tc>
        <w:tc>
          <w:tcPr>
            <w:tcW w:w="1559" w:type="dxa"/>
            <w:shd w:val="clear" w:color="auto" w:fill="auto"/>
            <w:vAlign w:val="center"/>
          </w:tcPr>
          <w:p w:rsidR="00E76845" w:rsidRPr="00E76845" w:rsidRDefault="00E76845" w:rsidP="00E76845">
            <w:pPr>
              <w:pStyle w:val="142"/>
              <w:jc w:val="right"/>
              <w:rPr>
                <w:rFonts w:hint="eastAsia"/>
              </w:rPr>
            </w:pPr>
            <w:r w:rsidRPr="00E76845">
              <w:rPr>
                <w:rFonts w:hint="eastAsia"/>
              </w:rPr>
              <w:t>-21.87</w:t>
            </w:r>
          </w:p>
        </w:tc>
      </w:tr>
      <w:tr w:rsidR="00E76845" w:rsidRPr="00E76845" w:rsidTr="00E33976">
        <w:tc>
          <w:tcPr>
            <w:tcW w:w="1560" w:type="dxa"/>
            <w:shd w:val="clear" w:color="auto" w:fill="auto"/>
            <w:vAlign w:val="center"/>
          </w:tcPr>
          <w:p w:rsidR="00E76845" w:rsidRPr="00E76845" w:rsidRDefault="00E76845" w:rsidP="00E76845">
            <w:pPr>
              <w:pStyle w:val="142"/>
              <w:jc w:val="center"/>
            </w:pPr>
            <w:r w:rsidRPr="00E76845">
              <w:rPr>
                <w:rFonts w:hint="eastAsia"/>
              </w:rPr>
              <w:t>107</w:t>
            </w:r>
          </w:p>
        </w:tc>
        <w:tc>
          <w:tcPr>
            <w:tcW w:w="1984" w:type="dxa"/>
            <w:shd w:val="clear" w:color="auto" w:fill="auto"/>
            <w:vAlign w:val="center"/>
          </w:tcPr>
          <w:p w:rsidR="00E76845" w:rsidRPr="00E76845" w:rsidRDefault="00E76845" w:rsidP="00E76845">
            <w:pPr>
              <w:pStyle w:val="142"/>
              <w:jc w:val="right"/>
            </w:pPr>
            <w:r w:rsidRPr="00E76845">
              <w:rPr>
                <w:rFonts w:hint="eastAsia"/>
              </w:rPr>
              <w:t>5,027,267</w:t>
            </w:r>
          </w:p>
        </w:tc>
        <w:tc>
          <w:tcPr>
            <w:tcW w:w="1701" w:type="dxa"/>
            <w:shd w:val="clear" w:color="auto" w:fill="auto"/>
            <w:vAlign w:val="center"/>
          </w:tcPr>
          <w:p w:rsidR="00E76845" w:rsidRPr="00E76845" w:rsidRDefault="00E76845" w:rsidP="00E76845">
            <w:pPr>
              <w:pStyle w:val="142"/>
              <w:jc w:val="right"/>
            </w:pPr>
            <w:r w:rsidRPr="00E76845">
              <w:rPr>
                <w:rFonts w:hint="eastAsia"/>
              </w:rPr>
              <w:t>17,576,853</w:t>
            </w:r>
          </w:p>
        </w:tc>
        <w:tc>
          <w:tcPr>
            <w:tcW w:w="1701" w:type="dxa"/>
            <w:shd w:val="clear" w:color="auto" w:fill="auto"/>
            <w:vAlign w:val="center"/>
          </w:tcPr>
          <w:p w:rsidR="00E76845" w:rsidRPr="00E76845" w:rsidRDefault="00E76845" w:rsidP="00E76845">
            <w:pPr>
              <w:pStyle w:val="142"/>
              <w:jc w:val="right"/>
            </w:pPr>
            <w:r w:rsidRPr="00E76845">
              <w:rPr>
                <w:rFonts w:hint="eastAsia"/>
              </w:rPr>
              <w:t>12,549,586</w:t>
            </w:r>
          </w:p>
        </w:tc>
        <w:tc>
          <w:tcPr>
            <w:tcW w:w="1559" w:type="dxa"/>
            <w:shd w:val="clear" w:color="auto" w:fill="auto"/>
            <w:vAlign w:val="center"/>
          </w:tcPr>
          <w:p w:rsidR="00E76845" w:rsidRPr="00E76845" w:rsidRDefault="00E76845" w:rsidP="00E76845">
            <w:pPr>
              <w:pStyle w:val="142"/>
              <w:jc w:val="right"/>
            </w:pPr>
            <w:r w:rsidRPr="00E76845">
              <w:rPr>
                <w:rFonts w:hint="eastAsia"/>
              </w:rPr>
              <w:t>249.63</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108</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-1,502,108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1,075,078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2,577,186 </w:t>
            </w:r>
          </w:p>
        </w:tc>
        <w:tc>
          <w:tcPr>
            <w:tcW w:w="1559" w:type="dxa"/>
            <w:shd w:val="clear" w:color="auto" w:fill="auto"/>
            <w:vAlign w:val="center"/>
          </w:tcPr>
          <w:p w:rsidR="00E76845" w:rsidRPr="00E76845" w:rsidRDefault="00E76845" w:rsidP="00E76845">
            <w:pPr>
              <w:pStyle w:val="142"/>
              <w:jc w:val="right"/>
              <w:rPr>
                <w:rFonts w:hint="eastAsia"/>
              </w:rPr>
            </w:pPr>
            <w:r w:rsidRPr="00E76845">
              <w:t>-171.57</w:t>
            </w:r>
          </w:p>
        </w:tc>
      </w:tr>
      <w:tr w:rsidR="00E76845" w:rsidRPr="00E76845" w:rsidTr="00E33976">
        <w:tc>
          <w:tcPr>
            <w:tcW w:w="1560" w:type="dxa"/>
            <w:shd w:val="clear" w:color="auto" w:fill="auto"/>
            <w:vAlign w:val="center"/>
          </w:tcPr>
          <w:p w:rsidR="00E76845" w:rsidRPr="00E76845" w:rsidRDefault="00E76845" w:rsidP="00E76845">
            <w:pPr>
              <w:pStyle w:val="142"/>
              <w:jc w:val="center"/>
            </w:pPr>
            <w:r w:rsidRPr="00E76845">
              <w:rPr>
                <w:rFonts w:hint="eastAsia"/>
              </w:rPr>
              <w:t>109</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7,936,826</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16,724,368</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8,787,542</w:t>
            </w:r>
          </w:p>
        </w:tc>
        <w:tc>
          <w:tcPr>
            <w:tcW w:w="1559" w:type="dxa"/>
            <w:shd w:val="clear" w:color="auto" w:fill="auto"/>
            <w:vAlign w:val="center"/>
          </w:tcPr>
          <w:p w:rsidR="00E76845" w:rsidRPr="00E76845" w:rsidRDefault="00E76845" w:rsidP="00E76845">
            <w:pPr>
              <w:pStyle w:val="142"/>
              <w:jc w:val="right"/>
              <w:rPr>
                <w:rFonts w:hint="eastAsia"/>
              </w:rPr>
            </w:pPr>
            <w:r w:rsidRPr="00E76845">
              <w:t>110.72</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110</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43,167,262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40,848,524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-2,318,738 </w:t>
            </w:r>
          </w:p>
        </w:tc>
        <w:tc>
          <w:tcPr>
            <w:tcW w:w="1559" w:type="dxa"/>
            <w:shd w:val="clear" w:color="auto" w:fill="auto"/>
          </w:tcPr>
          <w:p w:rsidR="00E76845" w:rsidRPr="00E76845" w:rsidRDefault="00E76845" w:rsidP="00E76845">
            <w:pPr>
              <w:pStyle w:val="142"/>
              <w:jc w:val="right"/>
            </w:pPr>
            <w:r w:rsidRPr="00E76845">
              <w:t>-5.37</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111</w:t>
            </w:r>
          </w:p>
        </w:tc>
        <w:tc>
          <w:tcPr>
            <w:tcW w:w="1984"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-829,524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-2,290,144 </w:t>
            </w:r>
          </w:p>
        </w:tc>
        <w:tc>
          <w:tcPr>
            <w:tcW w:w="1701" w:type="dxa"/>
            <w:shd w:val="clear" w:color="auto" w:fill="auto"/>
            <w:vAlign w:val="center"/>
          </w:tcPr>
          <w:p w:rsidR="00E76845" w:rsidRPr="00E76845" w:rsidRDefault="00E76845" w:rsidP="00E76845">
            <w:pPr>
              <w:pStyle w:val="142"/>
              <w:jc w:val="right"/>
              <w:rPr>
                <w:rFonts w:hint="eastAsia"/>
              </w:rPr>
            </w:pPr>
            <w:r w:rsidRPr="00E76845">
              <w:rPr>
                <w:rFonts w:hint="eastAsia"/>
              </w:rPr>
              <w:t xml:space="preserve">-1,460,620 </w:t>
            </w:r>
          </w:p>
        </w:tc>
        <w:tc>
          <w:tcPr>
            <w:tcW w:w="1559" w:type="dxa"/>
            <w:shd w:val="clear" w:color="auto" w:fill="auto"/>
          </w:tcPr>
          <w:p w:rsidR="00E76845" w:rsidRPr="00E76845" w:rsidRDefault="00E76845" w:rsidP="00E76845">
            <w:pPr>
              <w:pStyle w:val="142"/>
              <w:jc w:val="right"/>
            </w:pPr>
            <w:r w:rsidRPr="00E76845">
              <w:t>176.08</w:t>
            </w:r>
          </w:p>
        </w:tc>
      </w:tr>
      <w:tr w:rsidR="00E76845" w:rsidRPr="00E76845" w:rsidTr="00E33976">
        <w:tc>
          <w:tcPr>
            <w:tcW w:w="1560" w:type="dxa"/>
            <w:shd w:val="clear" w:color="auto" w:fill="auto"/>
            <w:vAlign w:val="center"/>
          </w:tcPr>
          <w:p w:rsidR="00E76845" w:rsidRPr="00E76845" w:rsidRDefault="00E76845" w:rsidP="00E76845">
            <w:pPr>
              <w:pStyle w:val="142"/>
              <w:jc w:val="center"/>
              <w:rPr>
                <w:rFonts w:hint="eastAsia"/>
              </w:rPr>
            </w:pPr>
            <w:r w:rsidRPr="00E76845">
              <w:rPr>
                <w:rFonts w:hint="eastAsia"/>
              </w:rPr>
              <w:t>1</w:t>
            </w:r>
            <w:r w:rsidRPr="00E76845">
              <w:t>12</w:t>
            </w:r>
          </w:p>
        </w:tc>
        <w:tc>
          <w:tcPr>
            <w:tcW w:w="1984" w:type="dxa"/>
            <w:shd w:val="clear" w:color="auto" w:fill="auto"/>
            <w:vAlign w:val="center"/>
          </w:tcPr>
          <w:p w:rsidR="00E76845" w:rsidRPr="00E76845" w:rsidRDefault="00E76845" w:rsidP="00E76845">
            <w:pPr>
              <w:pStyle w:val="142"/>
              <w:jc w:val="right"/>
            </w:pPr>
            <w:r w:rsidRPr="00E76845">
              <w:t>-1,635,380</w:t>
            </w:r>
          </w:p>
        </w:tc>
        <w:tc>
          <w:tcPr>
            <w:tcW w:w="1701" w:type="dxa"/>
            <w:shd w:val="clear" w:color="auto" w:fill="auto"/>
            <w:vAlign w:val="center"/>
          </w:tcPr>
          <w:p w:rsidR="00E76845" w:rsidRPr="00E76845" w:rsidRDefault="00E76845" w:rsidP="00E76845">
            <w:pPr>
              <w:pStyle w:val="142"/>
              <w:jc w:val="right"/>
            </w:pPr>
            <w:r w:rsidRPr="00E76845">
              <w:t>-19,325,768</w:t>
            </w:r>
          </w:p>
        </w:tc>
        <w:tc>
          <w:tcPr>
            <w:tcW w:w="1701" w:type="dxa"/>
            <w:shd w:val="clear" w:color="auto" w:fill="auto"/>
            <w:vAlign w:val="center"/>
          </w:tcPr>
          <w:p w:rsidR="00E76845" w:rsidRPr="00E76845" w:rsidRDefault="00E76845" w:rsidP="00E76845">
            <w:pPr>
              <w:pStyle w:val="142"/>
              <w:jc w:val="right"/>
            </w:pPr>
            <w:r w:rsidRPr="00E76845">
              <w:t>-17,690,388</w:t>
            </w:r>
          </w:p>
        </w:tc>
        <w:tc>
          <w:tcPr>
            <w:tcW w:w="1559" w:type="dxa"/>
            <w:shd w:val="clear" w:color="auto" w:fill="auto"/>
            <w:vAlign w:val="center"/>
          </w:tcPr>
          <w:p w:rsidR="00E76845" w:rsidRPr="00E76845" w:rsidRDefault="00E76845" w:rsidP="00E76845">
            <w:pPr>
              <w:pStyle w:val="142"/>
              <w:jc w:val="right"/>
            </w:pPr>
            <w:r w:rsidRPr="00E76845">
              <w:t>1,081.73</w:t>
            </w:r>
          </w:p>
        </w:tc>
      </w:tr>
      <w:tr w:rsidR="00E76845" w:rsidRPr="00E76845" w:rsidTr="00E33976">
        <w:tc>
          <w:tcPr>
            <w:tcW w:w="1560" w:type="dxa"/>
            <w:shd w:val="clear" w:color="auto" w:fill="auto"/>
          </w:tcPr>
          <w:p w:rsidR="00E76845" w:rsidRPr="00E76845" w:rsidRDefault="00E76845" w:rsidP="00E76845">
            <w:pPr>
              <w:pStyle w:val="142"/>
              <w:jc w:val="center"/>
            </w:pPr>
            <w:r w:rsidRPr="00E76845">
              <w:t>113</w:t>
            </w:r>
          </w:p>
        </w:tc>
        <w:tc>
          <w:tcPr>
            <w:tcW w:w="1984" w:type="dxa"/>
            <w:shd w:val="clear" w:color="auto" w:fill="auto"/>
          </w:tcPr>
          <w:p w:rsidR="00E76845" w:rsidRPr="00E76845" w:rsidRDefault="00E76845" w:rsidP="00E76845">
            <w:pPr>
              <w:pStyle w:val="142"/>
              <w:jc w:val="right"/>
            </w:pPr>
            <w:r w:rsidRPr="00E76845">
              <w:t xml:space="preserve">-14,598,396 </w:t>
            </w:r>
          </w:p>
        </w:tc>
        <w:tc>
          <w:tcPr>
            <w:tcW w:w="1701" w:type="dxa"/>
            <w:shd w:val="clear" w:color="auto" w:fill="auto"/>
          </w:tcPr>
          <w:p w:rsidR="00E76845" w:rsidRPr="00E76845" w:rsidRDefault="00E76845" w:rsidP="00E76845">
            <w:pPr>
              <w:pStyle w:val="142"/>
              <w:jc w:val="right"/>
            </w:pPr>
            <w:r w:rsidRPr="00E76845">
              <w:t xml:space="preserve">-31,564,916 </w:t>
            </w:r>
          </w:p>
        </w:tc>
        <w:tc>
          <w:tcPr>
            <w:tcW w:w="1701" w:type="dxa"/>
            <w:shd w:val="clear" w:color="auto" w:fill="auto"/>
          </w:tcPr>
          <w:p w:rsidR="00E76845" w:rsidRPr="00E76845" w:rsidRDefault="00E76845" w:rsidP="00E76845">
            <w:pPr>
              <w:pStyle w:val="142"/>
              <w:jc w:val="right"/>
            </w:pPr>
            <w:r w:rsidRPr="00E76845">
              <w:t xml:space="preserve">-16,966,520 </w:t>
            </w:r>
          </w:p>
        </w:tc>
        <w:tc>
          <w:tcPr>
            <w:tcW w:w="1559" w:type="dxa"/>
            <w:shd w:val="clear" w:color="auto" w:fill="auto"/>
          </w:tcPr>
          <w:p w:rsidR="00E76845" w:rsidRPr="00E76845" w:rsidRDefault="00E76845" w:rsidP="00E76845">
            <w:pPr>
              <w:pStyle w:val="142"/>
              <w:jc w:val="right"/>
            </w:pPr>
            <w:r w:rsidRPr="00E76845">
              <w:t>116.22</w:t>
            </w:r>
          </w:p>
        </w:tc>
      </w:tr>
    </w:tbl>
    <w:p w:rsidR="00E76845" w:rsidRPr="000A4881" w:rsidRDefault="00E76845" w:rsidP="00E76845">
      <w:pPr>
        <w:adjustRightInd w:val="0"/>
        <w:spacing w:line="300" w:lineRule="exact"/>
        <w:ind w:leftChars="0" w:left="0" w:firstLineChars="0" w:firstLine="0"/>
        <w:rPr>
          <w:snapToGrid/>
        </w:rPr>
      </w:pPr>
      <w:r w:rsidRPr="000A4881">
        <w:rPr>
          <w:rFonts w:hAnsi="標楷體" w:hint="eastAsia"/>
          <w:sz w:val="24"/>
        </w:rPr>
        <w:t>資料來源：整理自</w:t>
      </w:r>
      <w:r>
        <w:rPr>
          <w:rFonts w:hAnsi="標楷體" w:hint="eastAsia"/>
          <w:sz w:val="24"/>
        </w:rPr>
        <w:t>該</w:t>
      </w:r>
      <w:r w:rsidRPr="00DC2208">
        <w:rPr>
          <w:rFonts w:hAnsi="標楷體" w:hint="eastAsia"/>
          <w:sz w:val="24"/>
        </w:rPr>
        <w:t>基金各年度決算書資</w:t>
      </w:r>
      <w:r w:rsidRPr="000A4881">
        <w:rPr>
          <w:rFonts w:hAnsi="標楷體" w:hint="eastAsia"/>
          <w:sz w:val="24"/>
        </w:rPr>
        <w:t>料。</w:t>
      </w:r>
    </w:p>
    <w:p w:rsidR="00E76845" w:rsidRPr="00227F30" w:rsidRDefault="00E76845" w:rsidP="00E76845">
      <w:pPr>
        <w:pStyle w:val="a4"/>
        <w:ind w:left="849" w:hanging="283"/>
        <w:rPr>
          <w:rFonts w:hint="eastAsia"/>
          <w:b/>
          <w:bCs/>
        </w:rPr>
      </w:pPr>
      <w:r w:rsidRPr="00227F30">
        <w:rPr>
          <w:rFonts w:hint="eastAsia"/>
          <w:b/>
          <w:bCs/>
        </w:rPr>
        <w:t>(</w:t>
      </w:r>
      <w:r>
        <w:rPr>
          <w:rFonts w:hint="eastAsia"/>
          <w:b/>
          <w:bCs/>
        </w:rPr>
        <w:t>三</w:t>
      </w:r>
      <w:r w:rsidRPr="00227F30">
        <w:rPr>
          <w:b/>
          <w:bCs/>
        </w:rPr>
        <w:t>)</w:t>
      </w:r>
      <w:r w:rsidRPr="00227F30">
        <w:rPr>
          <w:rFonts w:hint="eastAsia"/>
          <w:b/>
          <w:bCs/>
        </w:rPr>
        <w:t>11</w:t>
      </w:r>
      <w:r>
        <w:rPr>
          <w:rFonts w:hint="eastAsia"/>
          <w:b/>
          <w:bCs/>
        </w:rPr>
        <w:t>3</w:t>
      </w:r>
      <w:r w:rsidRPr="00227F30">
        <w:rPr>
          <w:rFonts w:hint="eastAsia"/>
          <w:b/>
          <w:bCs/>
        </w:rPr>
        <w:t>年度</w:t>
      </w:r>
      <w:r>
        <w:rPr>
          <w:rFonts w:hint="eastAsia"/>
          <w:b/>
          <w:bCs/>
        </w:rPr>
        <w:t>先行辦理數金額龐鉅</w:t>
      </w:r>
      <w:r w:rsidRPr="00227F30">
        <w:rPr>
          <w:rFonts w:hint="eastAsia"/>
          <w:b/>
          <w:bCs/>
        </w:rPr>
        <w:t>，</w:t>
      </w:r>
      <w:r>
        <w:rPr>
          <w:rFonts w:hint="eastAsia"/>
          <w:b/>
          <w:bCs/>
        </w:rPr>
        <w:t>恐使預算審議功能受限</w:t>
      </w:r>
    </w:p>
    <w:p w:rsidR="00E76845" w:rsidRDefault="00E76845" w:rsidP="00E76845">
      <w:pPr>
        <w:pStyle w:val="21"/>
        <w:ind w:left="850" w:firstLine="566"/>
      </w:pPr>
      <w:r>
        <w:rPr>
          <w:rFonts w:hint="eastAsia"/>
        </w:rPr>
        <w:t>審視基金用途執行情形，</w:t>
      </w:r>
      <w:r w:rsidRPr="00782CA0">
        <w:rPr>
          <w:rFonts w:hint="eastAsia"/>
        </w:rPr>
        <w:t>營改基金</w:t>
      </w:r>
      <w:r w:rsidRPr="00340AD3">
        <w:rPr>
          <w:rFonts w:hint="eastAsia"/>
        </w:rPr>
        <w:t>主要業務計畫包含博愛專案、第205廠遷建專案、資安園區專案、老舊營舍整建與工程及設施整建計畫</w:t>
      </w:r>
      <w:r>
        <w:rPr>
          <w:rFonts w:hint="eastAsia"/>
        </w:rPr>
        <w:t>等5大項</w:t>
      </w:r>
      <w:r w:rsidRPr="00340AD3">
        <w:rPr>
          <w:rFonts w:hint="eastAsia"/>
        </w:rPr>
        <w:t>，</w:t>
      </w:r>
      <w:r>
        <w:rPr>
          <w:rFonts w:hint="eastAsia"/>
        </w:rPr>
        <w:t>據該基金說明，113年度</w:t>
      </w:r>
      <w:r w:rsidRPr="00FF3FA5">
        <w:rPr>
          <w:rFonts w:hint="eastAsia"/>
        </w:rPr>
        <w:t>老舊營舍整建計畫</w:t>
      </w:r>
      <w:r>
        <w:rPr>
          <w:rFonts w:hint="eastAsia"/>
        </w:rPr>
        <w:t>若干計畫因預算編列不足，有下列先行辦理情形：</w:t>
      </w:r>
    </w:p>
    <w:p w:rsidR="00E76845" w:rsidRPr="00DC2208" w:rsidRDefault="00E76845" w:rsidP="00E76845">
      <w:pPr>
        <w:pStyle w:val="123"/>
        <w:ind w:left="1133" w:hanging="283"/>
        <w:rPr>
          <w:rFonts w:hint="eastAsia"/>
        </w:rPr>
      </w:pPr>
      <w:r w:rsidRPr="00CF2E6C">
        <w:rPr>
          <w:rFonts w:hint="eastAsia"/>
          <w:b/>
          <w:bCs/>
        </w:rPr>
        <w:t>1.補辦預算：</w:t>
      </w:r>
      <w:r>
        <w:rPr>
          <w:rFonts w:hint="eastAsia"/>
        </w:rPr>
        <w:t>「桃園基地代拆代建工程」計畫總額106.94億元，截至112年度止已編列預算45億6,690萬1千元，113年度為最</w:t>
      </w:r>
      <w:r w:rsidRPr="00DC2208">
        <w:rPr>
          <w:rFonts w:hint="eastAsia"/>
        </w:rPr>
        <w:t>後辦理年度卻未編預算，爰將61億2,600萬元列入決算，並於115年度補辦預算58億7,265萬5千元。</w:t>
      </w:r>
    </w:p>
    <w:p w:rsidR="00E76845" w:rsidRPr="00DC2208" w:rsidRDefault="00E76845" w:rsidP="00E76845">
      <w:pPr>
        <w:pStyle w:val="123"/>
        <w:ind w:left="1133" w:hanging="283"/>
        <w:rPr>
          <w:rFonts w:hint="eastAsia"/>
        </w:rPr>
      </w:pPr>
      <w:r w:rsidRPr="00DC2208">
        <w:rPr>
          <w:rFonts w:hint="eastAsia"/>
          <w:b/>
          <w:bCs/>
        </w:rPr>
        <w:t>2.先行辦理以後年度預算：</w:t>
      </w:r>
      <w:r w:rsidRPr="00DC2208">
        <w:rPr>
          <w:rFonts w:hint="eastAsia"/>
        </w:rPr>
        <w:t>「龍山營區新建工程」計畫等32案因工程數不足56億8,297萬9千元，爰奉准將114年度預算於113年度先行辦理。</w:t>
      </w:r>
    </w:p>
    <w:p w:rsidR="00E76845" w:rsidRDefault="00E76845" w:rsidP="00E76845">
      <w:pPr>
        <w:pStyle w:val="21"/>
        <w:ind w:left="850" w:firstLine="566"/>
      </w:pPr>
      <w:r w:rsidRPr="00DC2208">
        <w:rPr>
          <w:rFonts w:hint="eastAsia"/>
        </w:rPr>
        <w:lastRenderedPageBreak/>
        <w:t>前述補辦預算及先行辦理金額合共115億5,563萬4千元，</w:t>
      </w:r>
      <w:r>
        <w:rPr>
          <w:rFonts w:hint="eastAsia"/>
        </w:rPr>
        <w:t>甚為龐鉅，容</w:t>
      </w:r>
      <w:r w:rsidRPr="00FF3FA5">
        <w:rPr>
          <w:rFonts w:hint="eastAsia"/>
        </w:rPr>
        <w:t>顯未</w:t>
      </w:r>
      <w:r>
        <w:rPr>
          <w:rFonts w:hint="eastAsia"/>
        </w:rPr>
        <w:t>能</w:t>
      </w:r>
      <w:r w:rsidRPr="00FF3FA5">
        <w:rPr>
          <w:rFonts w:hint="eastAsia"/>
        </w:rPr>
        <w:t>配合工程進度實際需要核實編列年度預算，</w:t>
      </w:r>
      <w:r>
        <w:rPr>
          <w:rFonts w:hint="eastAsia"/>
        </w:rPr>
        <w:t>恐使預算審議功能受限，降低預算編列品質，嗣</w:t>
      </w:r>
      <w:r w:rsidRPr="00FF3FA5">
        <w:rPr>
          <w:rFonts w:hint="eastAsia"/>
        </w:rPr>
        <w:t>後</w:t>
      </w:r>
      <w:r>
        <w:rPr>
          <w:rFonts w:hint="eastAsia"/>
        </w:rPr>
        <w:t>允宜</w:t>
      </w:r>
      <w:r w:rsidRPr="00FF3FA5">
        <w:rPr>
          <w:rFonts w:hint="eastAsia"/>
        </w:rPr>
        <w:t>確實檢討改進</w:t>
      </w:r>
      <w:r>
        <w:rPr>
          <w:rFonts w:hint="eastAsia"/>
        </w:rPr>
        <w:t>。</w:t>
      </w:r>
    </w:p>
    <w:p w:rsidR="00E76845" w:rsidRPr="000A4881" w:rsidRDefault="00E76845" w:rsidP="00E76845">
      <w:pPr>
        <w:ind w:left="566" w:firstLine="566"/>
        <w:rPr>
          <w:rFonts w:hint="eastAsia"/>
        </w:rPr>
      </w:pPr>
      <w:r w:rsidRPr="000A4881">
        <w:rPr>
          <w:rFonts w:hint="eastAsia"/>
        </w:rPr>
        <w:t>綜上，</w:t>
      </w:r>
      <w:r>
        <w:rPr>
          <w:rFonts w:hint="eastAsia"/>
        </w:rPr>
        <w:t>為使預</w:t>
      </w:r>
      <w:r w:rsidRPr="00DC2208">
        <w:rPr>
          <w:rFonts w:hint="eastAsia"/>
        </w:rPr>
        <w:t>算覈實可行，營改基金宜妥慎評估可納列基金之財源與資金撥付時程，在可用資金範圍及期程內，詳實規劃辦理各項營舍設施工程。惟該基金113年度決算短絀逾300億元，為近年最高；且近2年度餘絀預決算差異數顯著擴增，主係基金用途超支所致，加以113年度先行辦理金額龐鉅，顯示其預算事前規劃未盡周延，導致計畫與預算未能縝密結合，恐使預算審議</w:t>
      </w:r>
      <w:r>
        <w:rPr>
          <w:rFonts w:hint="eastAsia"/>
        </w:rPr>
        <w:t>功能受限，允宜檢討改進</w:t>
      </w:r>
      <w:r w:rsidRPr="00441EE5">
        <w:rPr>
          <w:rFonts w:hint="eastAsia"/>
        </w:rPr>
        <w:t>。</w:t>
      </w:r>
    </w:p>
    <w:p w:rsidR="00E76845" w:rsidRPr="00B848F5" w:rsidRDefault="00E76845" w:rsidP="00E76845">
      <w:pPr>
        <w:pStyle w:val="ab"/>
        <w:ind w:left="566" w:firstLine="566"/>
        <w:rPr>
          <w:rFonts w:hAnsi="Calibri" w:hint="eastAsia"/>
          <w:snapToGrid/>
        </w:rPr>
      </w:pPr>
      <w:r w:rsidRPr="00FE38A2">
        <w:rPr>
          <w:rFonts w:hint="eastAsia"/>
        </w:rPr>
        <w:t>（分機：</w:t>
      </w:r>
      <w:r>
        <w:rPr>
          <w:rFonts w:hint="eastAsia"/>
        </w:rPr>
        <w:t>1933 張峻萍</w:t>
      </w:r>
      <w:r w:rsidRPr="00FE38A2">
        <w:rPr>
          <w:rFonts w:hint="eastAsia"/>
        </w:rPr>
        <w:t>）</w:t>
      </w:r>
      <w:bookmarkStart w:id="3" w:name="_GoBack"/>
      <w:bookmarkEnd w:id="3"/>
    </w:p>
    <w:sectPr w:rsidR="00E76845" w:rsidRPr="00B848F5">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BDB" w:rsidRDefault="007E4BDB" w:rsidP="003D107C">
      <w:pPr>
        <w:ind w:left="560" w:firstLine="560"/>
      </w:pPr>
      <w:r>
        <w:separator/>
      </w:r>
    </w:p>
  </w:endnote>
  <w:endnote w:type="continuationSeparator" w:id="0">
    <w:p w:rsidR="007E4BDB" w:rsidRDefault="007E4BDB"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E78" w:rsidRDefault="00816E78">
    <w:pPr>
      <w:pStyle w:val="af0"/>
      <w:ind w:leftChars="0" w:left="0" w:firstLineChars="0" w:firstLine="0"/>
      <w:jc w:val="center"/>
      <w:rPr>
        <w:sz w:val="28"/>
      </w:rPr>
    </w:pPr>
    <w:r>
      <w:rPr>
        <w:rStyle w:val="af1"/>
      </w:rPr>
      <w:fldChar w:fldCharType="begin"/>
    </w:r>
    <w:r>
      <w:rPr>
        <w:rStyle w:val="af1"/>
      </w:rPr>
      <w:instrText xml:space="preserve"> PAGE </w:instrText>
    </w:r>
    <w:r>
      <w:rPr>
        <w:rStyle w:val="af1"/>
      </w:rPr>
      <w:fldChar w:fldCharType="separate"/>
    </w:r>
    <w:r w:rsidR="00F97B70">
      <w:rPr>
        <w:rStyle w:val="af1"/>
        <w:noProof/>
      </w:rPr>
      <w:t>3</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BDB" w:rsidRDefault="007E4BDB" w:rsidP="003E7906">
      <w:pPr>
        <w:ind w:left="560" w:firstLine="560"/>
      </w:pPr>
      <w:r>
        <w:separator/>
      </w:r>
    </w:p>
  </w:footnote>
  <w:footnote w:type="continuationSeparator" w:id="0">
    <w:p w:rsidR="007E4BDB" w:rsidRDefault="007E4BDB" w:rsidP="003D107C">
      <w:pPr>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91961BA"/>
    <w:multiLevelType w:val="hybridMultilevel"/>
    <w:tmpl w:val="F2C293AA"/>
    <w:lvl w:ilvl="0" w:tplc="8B001C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4"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5"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7"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10"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4"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5"/>
  </w:num>
  <w:num w:numId="2">
    <w:abstractNumId w:val="9"/>
  </w:num>
  <w:num w:numId="3">
    <w:abstractNumId w:val="4"/>
  </w:num>
  <w:num w:numId="4">
    <w:abstractNumId w:val="0"/>
  </w:num>
  <w:num w:numId="5">
    <w:abstractNumId w:val="11"/>
  </w:num>
  <w:num w:numId="6">
    <w:abstractNumId w:val="10"/>
  </w:num>
  <w:num w:numId="7">
    <w:abstractNumId w:val="8"/>
  </w:num>
  <w:num w:numId="8">
    <w:abstractNumId w:val="6"/>
  </w:num>
  <w:num w:numId="9">
    <w:abstractNumId w:val="14"/>
  </w:num>
  <w:num w:numId="10">
    <w:abstractNumId w:val="7"/>
  </w:num>
  <w:num w:numId="11">
    <w:abstractNumId w:val="15"/>
  </w:num>
  <w:num w:numId="12">
    <w:abstractNumId w:val="3"/>
  </w:num>
  <w:num w:numId="13">
    <w:abstractNumId w:val="12"/>
  </w:num>
  <w:num w:numId="14">
    <w:abstractNumId w:val="1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3603"/>
    <w:rsid w:val="00004912"/>
    <w:rsid w:val="00004B80"/>
    <w:rsid w:val="00004CE6"/>
    <w:rsid w:val="00004D36"/>
    <w:rsid w:val="00005FD0"/>
    <w:rsid w:val="0000631A"/>
    <w:rsid w:val="00006624"/>
    <w:rsid w:val="0000679A"/>
    <w:rsid w:val="00010434"/>
    <w:rsid w:val="000114F9"/>
    <w:rsid w:val="000119A7"/>
    <w:rsid w:val="00012D96"/>
    <w:rsid w:val="000132D9"/>
    <w:rsid w:val="000143D3"/>
    <w:rsid w:val="0001479F"/>
    <w:rsid w:val="00017511"/>
    <w:rsid w:val="000240D7"/>
    <w:rsid w:val="00024175"/>
    <w:rsid w:val="00024316"/>
    <w:rsid w:val="00024CBB"/>
    <w:rsid w:val="000255F6"/>
    <w:rsid w:val="00025EAF"/>
    <w:rsid w:val="00025F05"/>
    <w:rsid w:val="00030B95"/>
    <w:rsid w:val="00031EC3"/>
    <w:rsid w:val="0003292B"/>
    <w:rsid w:val="00036323"/>
    <w:rsid w:val="0004108F"/>
    <w:rsid w:val="00041BEB"/>
    <w:rsid w:val="00041D03"/>
    <w:rsid w:val="00042B9E"/>
    <w:rsid w:val="0004391C"/>
    <w:rsid w:val="00046BFC"/>
    <w:rsid w:val="00046D1E"/>
    <w:rsid w:val="00046E6E"/>
    <w:rsid w:val="00047763"/>
    <w:rsid w:val="00047C83"/>
    <w:rsid w:val="00050EC8"/>
    <w:rsid w:val="000518BA"/>
    <w:rsid w:val="00053000"/>
    <w:rsid w:val="00054992"/>
    <w:rsid w:val="00056539"/>
    <w:rsid w:val="00056CDC"/>
    <w:rsid w:val="00056F7B"/>
    <w:rsid w:val="00060BFD"/>
    <w:rsid w:val="00060E7E"/>
    <w:rsid w:val="0006153B"/>
    <w:rsid w:val="000617F6"/>
    <w:rsid w:val="00066679"/>
    <w:rsid w:val="00067090"/>
    <w:rsid w:val="0007075F"/>
    <w:rsid w:val="00070972"/>
    <w:rsid w:val="00071750"/>
    <w:rsid w:val="00071AE6"/>
    <w:rsid w:val="00075028"/>
    <w:rsid w:val="00075B05"/>
    <w:rsid w:val="000763AB"/>
    <w:rsid w:val="00076B27"/>
    <w:rsid w:val="0008095B"/>
    <w:rsid w:val="00083C2B"/>
    <w:rsid w:val="00084D7C"/>
    <w:rsid w:val="0008563A"/>
    <w:rsid w:val="000859E3"/>
    <w:rsid w:val="00086671"/>
    <w:rsid w:val="00087BB5"/>
    <w:rsid w:val="000905F7"/>
    <w:rsid w:val="00090996"/>
    <w:rsid w:val="00091775"/>
    <w:rsid w:val="0009224A"/>
    <w:rsid w:val="00092E14"/>
    <w:rsid w:val="000932F2"/>
    <w:rsid w:val="00093DAD"/>
    <w:rsid w:val="00093F5C"/>
    <w:rsid w:val="00095F1D"/>
    <w:rsid w:val="000A15C6"/>
    <w:rsid w:val="000A449C"/>
    <w:rsid w:val="000A5D82"/>
    <w:rsid w:val="000B0C77"/>
    <w:rsid w:val="000B1C06"/>
    <w:rsid w:val="000B2A32"/>
    <w:rsid w:val="000B4DF1"/>
    <w:rsid w:val="000B5183"/>
    <w:rsid w:val="000B63B9"/>
    <w:rsid w:val="000B733D"/>
    <w:rsid w:val="000B7AE0"/>
    <w:rsid w:val="000C0844"/>
    <w:rsid w:val="000C0E56"/>
    <w:rsid w:val="000C11C6"/>
    <w:rsid w:val="000C169F"/>
    <w:rsid w:val="000C2C47"/>
    <w:rsid w:val="000C469E"/>
    <w:rsid w:val="000C4883"/>
    <w:rsid w:val="000C5639"/>
    <w:rsid w:val="000C6311"/>
    <w:rsid w:val="000C701F"/>
    <w:rsid w:val="000C76E9"/>
    <w:rsid w:val="000D0062"/>
    <w:rsid w:val="000D0A49"/>
    <w:rsid w:val="000D0EA8"/>
    <w:rsid w:val="000D10B3"/>
    <w:rsid w:val="000D1475"/>
    <w:rsid w:val="000D1655"/>
    <w:rsid w:val="000D1991"/>
    <w:rsid w:val="000D4244"/>
    <w:rsid w:val="000D6F2E"/>
    <w:rsid w:val="000D7396"/>
    <w:rsid w:val="000E16DC"/>
    <w:rsid w:val="000E1926"/>
    <w:rsid w:val="000E452F"/>
    <w:rsid w:val="000E542F"/>
    <w:rsid w:val="000E6206"/>
    <w:rsid w:val="000E7AAE"/>
    <w:rsid w:val="000F0347"/>
    <w:rsid w:val="000F0788"/>
    <w:rsid w:val="000F1125"/>
    <w:rsid w:val="000F1DC2"/>
    <w:rsid w:val="000F29E4"/>
    <w:rsid w:val="000F3684"/>
    <w:rsid w:val="000F590C"/>
    <w:rsid w:val="001014DF"/>
    <w:rsid w:val="00101CBE"/>
    <w:rsid w:val="0010249A"/>
    <w:rsid w:val="0010439B"/>
    <w:rsid w:val="001045C6"/>
    <w:rsid w:val="001076F7"/>
    <w:rsid w:val="001146C9"/>
    <w:rsid w:val="001149A0"/>
    <w:rsid w:val="001158BA"/>
    <w:rsid w:val="00121ED7"/>
    <w:rsid w:val="00122975"/>
    <w:rsid w:val="00125190"/>
    <w:rsid w:val="001253C0"/>
    <w:rsid w:val="001266E0"/>
    <w:rsid w:val="001311E4"/>
    <w:rsid w:val="00134393"/>
    <w:rsid w:val="0013521A"/>
    <w:rsid w:val="00135BC4"/>
    <w:rsid w:val="00137885"/>
    <w:rsid w:val="00140024"/>
    <w:rsid w:val="00140963"/>
    <w:rsid w:val="001440A9"/>
    <w:rsid w:val="0014474F"/>
    <w:rsid w:val="00144AA7"/>
    <w:rsid w:val="001452B8"/>
    <w:rsid w:val="0014795E"/>
    <w:rsid w:val="00147B02"/>
    <w:rsid w:val="00147EA8"/>
    <w:rsid w:val="00152415"/>
    <w:rsid w:val="001526D3"/>
    <w:rsid w:val="00155AE7"/>
    <w:rsid w:val="0015728B"/>
    <w:rsid w:val="001605A4"/>
    <w:rsid w:val="00162EFA"/>
    <w:rsid w:val="00166850"/>
    <w:rsid w:val="00166D02"/>
    <w:rsid w:val="00172CB0"/>
    <w:rsid w:val="00172FBC"/>
    <w:rsid w:val="00173360"/>
    <w:rsid w:val="0017373A"/>
    <w:rsid w:val="0017501B"/>
    <w:rsid w:val="00175B4C"/>
    <w:rsid w:val="00175F9B"/>
    <w:rsid w:val="00176D79"/>
    <w:rsid w:val="00177478"/>
    <w:rsid w:val="001774A1"/>
    <w:rsid w:val="001807FD"/>
    <w:rsid w:val="00180919"/>
    <w:rsid w:val="00181383"/>
    <w:rsid w:val="00182E9C"/>
    <w:rsid w:val="00182F3C"/>
    <w:rsid w:val="00183828"/>
    <w:rsid w:val="00183B26"/>
    <w:rsid w:val="00183E31"/>
    <w:rsid w:val="00184B44"/>
    <w:rsid w:val="00186392"/>
    <w:rsid w:val="001876A4"/>
    <w:rsid w:val="0019050E"/>
    <w:rsid w:val="00191E72"/>
    <w:rsid w:val="001928A9"/>
    <w:rsid w:val="00192A4A"/>
    <w:rsid w:val="0019466D"/>
    <w:rsid w:val="00196734"/>
    <w:rsid w:val="00196741"/>
    <w:rsid w:val="00197999"/>
    <w:rsid w:val="00197B40"/>
    <w:rsid w:val="001A2F45"/>
    <w:rsid w:val="001A5FE4"/>
    <w:rsid w:val="001A6B3D"/>
    <w:rsid w:val="001A7E92"/>
    <w:rsid w:val="001B1921"/>
    <w:rsid w:val="001B29B3"/>
    <w:rsid w:val="001B2FB4"/>
    <w:rsid w:val="001B31B6"/>
    <w:rsid w:val="001B5227"/>
    <w:rsid w:val="001B5428"/>
    <w:rsid w:val="001B7ED2"/>
    <w:rsid w:val="001C2651"/>
    <w:rsid w:val="001C2C15"/>
    <w:rsid w:val="001C37F6"/>
    <w:rsid w:val="001C4567"/>
    <w:rsid w:val="001C5B36"/>
    <w:rsid w:val="001D0951"/>
    <w:rsid w:val="001D0E61"/>
    <w:rsid w:val="001D2F4E"/>
    <w:rsid w:val="001D4B83"/>
    <w:rsid w:val="001D4C2E"/>
    <w:rsid w:val="001D4D22"/>
    <w:rsid w:val="001D6316"/>
    <w:rsid w:val="001D66E0"/>
    <w:rsid w:val="001D782B"/>
    <w:rsid w:val="001E018B"/>
    <w:rsid w:val="001E02E3"/>
    <w:rsid w:val="001E1040"/>
    <w:rsid w:val="001E181E"/>
    <w:rsid w:val="001E21F3"/>
    <w:rsid w:val="001E29B5"/>
    <w:rsid w:val="001E3409"/>
    <w:rsid w:val="001E346C"/>
    <w:rsid w:val="001E44B8"/>
    <w:rsid w:val="001E656E"/>
    <w:rsid w:val="001F1841"/>
    <w:rsid w:val="001F2690"/>
    <w:rsid w:val="001F421D"/>
    <w:rsid w:val="0020045E"/>
    <w:rsid w:val="00200EEE"/>
    <w:rsid w:val="00201581"/>
    <w:rsid w:val="00201736"/>
    <w:rsid w:val="00201866"/>
    <w:rsid w:val="002019E8"/>
    <w:rsid w:val="002034A3"/>
    <w:rsid w:val="00204ABC"/>
    <w:rsid w:val="00204B3F"/>
    <w:rsid w:val="00205E45"/>
    <w:rsid w:val="00210A03"/>
    <w:rsid w:val="00210C1A"/>
    <w:rsid w:val="00212D48"/>
    <w:rsid w:val="0021327B"/>
    <w:rsid w:val="002138C5"/>
    <w:rsid w:val="002138E6"/>
    <w:rsid w:val="00220003"/>
    <w:rsid w:val="00220CC6"/>
    <w:rsid w:val="00222081"/>
    <w:rsid w:val="00223477"/>
    <w:rsid w:val="00223BCD"/>
    <w:rsid w:val="002250A3"/>
    <w:rsid w:val="002263F2"/>
    <w:rsid w:val="00226901"/>
    <w:rsid w:val="00226F77"/>
    <w:rsid w:val="00232805"/>
    <w:rsid w:val="00233567"/>
    <w:rsid w:val="00234580"/>
    <w:rsid w:val="002351F2"/>
    <w:rsid w:val="00235DC2"/>
    <w:rsid w:val="0023790F"/>
    <w:rsid w:val="00237E77"/>
    <w:rsid w:val="00241AAA"/>
    <w:rsid w:val="00242DEE"/>
    <w:rsid w:val="0024467A"/>
    <w:rsid w:val="00246A6B"/>
    <w:rsid w:val="00247DD5"/>
    <w:rsid w:val="00250418"/>
    <w:rsid w:val="00250786"/>
    <w:rsid w:val="002508BC"/>
    <w:rsid w:val="00251A38"/>
    <w:rsid w:val="00252480"/>
    <w:rsid w:val="002528A8"/>
    <w:rsid w:val="002529FA"/>
    <w:rsid w:val="00253AB8"/>
    <w:rsid w:val="002555DB"/>
    <w:rsid w:val="00257335"/>
    <w:rsid w:val="002577A3"/>
    <w:rsid w:val="0026090B"/>
    <w:rsid w:val="00260EBF"/>
    <w:rsid w:val="00261FE1"/>
    <w:rsid w:val="0026344A"/>
    <w:rsid w:val="00265254"/>
    <w:rsid w:val="00266051"/>
    <w:rsid w:val="0026765D"/>
    <w:rsid w:val="0027092A"/>
    <w:rsid w:val="002722DA"/>
    <w:rsid w:val="00272386"/>
    <w:rsid w:val="00272E24"/>
    <w:rsid w:val="00273CCC"/>
    <w:rsid w:val="00273DDE"/>
    <w:rsid w:val="002757DA"/>
    <w:rsid w:val="00276A80"/>
    <w:rsid w:val="00277C3C"/>
    <w:rsid w:val="0028374A"/>
    <w:rsid w:val="00283F78"/>
    <w:rsid w:val="00286A14"/>
    <w:rsid w:val="00286BB1"/>
    <w:rsid w:val="0028715F"/>
    <w:rsid w:val="00287351"/>
    <w:rsid w:val="00287959"/>
    <w:rsid w:val="00290168"/>
    <w:rsid w:val="00290CE5"/>
    <w:rsid w:val="0029117A"/>
    <w:rsid w:val="002913EC"/>
    <w:rsid w:val="00291EA4"/>
    <w:rsid w:val="00292B70"/>
    <w:rsid w:val="00295FD9"/>
    <w:rsid w:val="00296E89"/>
    <w:rsid w:val="002971B0"/>
    <w:rsid w:val="002A1180"/>
    <w:rsid w:val="002A1F05"/>
    <w:rsid w:val="002A23F1"/>
    <w:rsid w:val="002A36DD"/>
    <w:rsid w:val="002A62F3"/>
    <w:rsid w:val="002A7148"/>
    <w:rsid w:val="002A73FC"/>
    <w:rsid w:val="002A7C7B"/>
    <w:rsid w:val="002B084B"/>
    <w:rsid w:val="002B2F91"/>
    <w:rsid w:val="002B41FC"/>
    <w:rsid w:val="002B45BD"/>
    <w:rsid w:val="002B784D"/>
    <w:rsid w:val="002B7A4B"/>
    <w:rsid w:val="002C223D"/>
    <w:rsid w:val="002C2610"/>
    <w:rsid w:val="002C2FFE"/>
    <w:rsid w:val="002C32B1"/>
    <w:rsid w:val="002C33F6"/>
    <w:rsid w:val="002C60FC"/>
    <w:rsid w:val="002C6BD7"/>
    <w:rsid w:val="002C6FD8"/>
    <w:rsid w:val="002D0CE3"/>
    <w:rsid w:val="002D1042"/>
    <w:rsid w:val="002D1264"/>
    <w:rsid w:val="002D1392"/>
    <w:rsid w:val="002D3EDD"/>
    <w:rsid w:val="002D476A"/>
    <w:rsid w:val="002D633F"/>
    <w:rsid w:val="002D7226"/>
    <w:rsid w:val="002D794E"/>
    <w:rsid w:val="002E28F1"/>
    <w:rsid w:val="002E30F6"/>
    <w:rsid w:val="002E31BB"/>
    <w:rsid w:val="002E3E83"/>
    <w:rsid w:val="002E4861"/>
    <w:rsid w:val="002E4DC4"/>
    <w:rsid w:val="002E4EBA"/>
    <w:rsid w:val="002E5AC1"/>
    <w:rsid w:val="002E643E"/>
    <w:rsid w:val="002E6CBD"/>
    <w:rsid w:val="002F07DD"/>
    <w:rsid w:val="002F12B2"/>
    <w:rsid w:val="002F1B64"/>
    <w:rsid w:val="002F4C01"/>
    <w:rsid w:val="002F571B"/>
    <w:rsid w:val="00301304"/>
    <w:rsid w:val="003028FC"/>
    <w:rsid w:val="0031003D"/>
    <w:rsid w:val="00310101"/>
    <w:rsid w:val="00310468"/>
    <w:rsid w:val="00310AF3"/>
    <w:rsid w:val="00311639"/>
    <w:rsid w:val="00317443"/>
    <w:rsid w:val="00320225"/>
    <w:rsid w:val="00320CD9"/>
    <w:rsid w:val="0032255B"/>
    <w:rsid w:val="00322632"/>
    <w:rsid w:val="00322DF5"/>
    <w:rsid w:val="00323091"/>
    <w:rsid w:val="00325150"/>
    <w:rsid w:val="003275A4"/>
    <w:rsid w:val="003276AF"/>
    <w:rsid w:val="00327A05"/>
    <w:rsid w:val="003302C0"/>
    <w:rsid w:val="003308E3"/>
    <w:rsid w:val="00331EC6"/>
    <w:rsid w:val="003322AA"/>
    <w:rsid w:val="00334C6E"/>
    <w:rsid w:val="00340EEE"/>
    <w:rsid w:val="0034102C"/>
    <w:rsid w:val="00342AC0"/>
    <w:rsid w:val="00344419"/>
    <w:rsid w:val="00345817"/>
    <w:rsid w:val="00347CBD"/>
    <w:rsid w:val="00350017"/>
    <w:rsid w:val="00350537"/>
    <w:rsid w:val="0035128C"/>
    <w:rsid w:val="003554C1"/>
    <w:rsid w:val="00355CC4"/>
    <w:rsid w:val="00357732"/>
    <w:rsid w:val="003608C6"/>
    <w:rsid w:val="00360D7D"/>
    <w:rsid w:val="0036101D"/>
    <w:rsid w:val="0036113C"/>
    <w:rsid w:val="00362F29"/>
    <w:rsid w:val="003635E7"/>
    <w:rsid w:val="00363A44"/>
    <w:rsid w:val="003643AE"/>
    <w:rsid w:val="00365A4B"/>
    <w:rsid w:val="003660C2"/>
    <w:rsid w:val="003660DF"/>
    <w:rsid w:val="003668CF"/>
    <w:rsid w:val="0036733F"/>
    <w:rsid w:val="00367BDE"/>
    <w:rsid w:val="00371516"/>
    <w:rsid w:val="003735EB"/>
    <w:rsid w:val="00375994"/>
    <w:rsid w:val="00375FCF"/>
    <w:rsid w:val="00384148"/>
    <w:rsid w:val="00384820"/>
    <w:rsid w:val="00385461"/>
    <w:rsid w:val="00385F3E"/>
    <w:rsid w:val="00390824"/>
    <w:rsid w:val="0039232A"/>
    <w:rsid w:val="00394810"/>
    <w:rsid w:val="0039781F"/>
    <w:rsid w:val="00397CF7"/>
    <w:rsid w:val="00397DF1"/>
    <w:rsid w:val="003A04B4"/>
    <w:rsid w:val="003A4382"/>
    <w:rsid w:val="003A50A1"/>
    <w:rsid w:val="003A5BB1"/>
    <w:rsid w:val="003B1421"/>
    <w:rsid w:val="003B1452"/>
    <w:rsid w:val="003B1730"/>
    <w:rsid w:val="003B33BD"/>
    <w:rsid w:val="003B3C55"/>
    <w:rsid w:val="003B5193"/>
    <w:rsid w:val="003B5502"/>
    <w:rsid w:val="003B7A04"/>
    <w:rsid w:val="003B7EB5"/>
    <w:rsid w:val="003C5569"/>
    <w:rsid w:val="003C708F"/>
    <w:rsid w:val="003D107C"/>
    <w:rsid w:val="003D1635"/>
    <w:rsid w:val="003D28C1"/>
    <w:rsid w:val="003D41BF"/>
    <w:rsid w:val="003D46DE"/>
    <w:rsid w:val="003D51BF"/>
    <w:rsid w:val="003D6C04"/>
    <w:rsid w:val="003D7462"/>
    <w:rsid w:val="003E0EB3"/>
    <w:rsid w:val="003E1E3E"/>
    <w:rsid w:val="003E1FDF"/>
    <w:rsid w:val="003E4392"/>
    <w:rsid w:val="003E57FC"/>
    <w:rsid w:val="003E6529"/>
    <w:rsid w:val="003E7425"/>
    <w:rsid w:val="003E7906"/>
    <w:rsid w:val="003F16CF"/>
    <w:rsid w:val="003F1BA4"/>
    <w:rsid w:val="003F2A43"/>
    <w:rsid w:val="003F2C90"/>
    <w:rsid w:val="003F36EC"/>
    <w:rsid w:val="003F416D"/>
    <w:rsid w:val="003F7184"/>
    <w:rsid w:val="003F73EA"/>
    <w:rsid w:val="00402FDA"/>
    <w:rsid w:val="00403915"/>
    <w:rsid w:val="004039ED"/>
    <w:rsid w:val="00404EB9"/>
    <w:rsid w:val="00405012"/>
    <w:rsid w:val="00406650"/>
    <w:rsid w:val="0040762E"/>
    <w:rsid w:val="00410154"/>
    <w:rsid w:val="00411CBC"/>
    <w:rsid w:val="00412656"/>
    <w:rsid w:val="00413491"/>
    <w:rsid w:val="00413A33"/>
    <w:rsid w:val="00414B7A"/>
    <w:rsid w:val="00416269"/>
    <w:rsid w:val="00416412"/>
    <w:rsid w:val="004178E1"/>
    <w:rsid w:val="00420391"/>
    <w:rsid w:val="00420CE3"/>
    <w:rsid w:val="004210DC"/>
    <w:rsid w:val="00421172"/>
    <w:rsid w:val="004226B5"/>
    <w:rsid w:val="004236A9"/>
    <w:rsid w:val="00425D81"/>
    <w:rsid w:val="004268C2"/>
    <w:rsid w:val="0043077D"/>
    <w:rsid w:val="004318D1"/>
    <w:rsid w:val="00431C9B"/>
    <w:rsid w:val="004338E1"/>
    <w:rsid w:val="00433CB5"/>
    <w:rsid w:val="00435CD8"/>
    <w:rsid w:val="004369A7"/>
    <w:rsid w:val="00437B2F"/>
    <w:rsid w:val="004401C8"/>
    <w:rsid w:val="00441BEC"/>
    <w:rsid w:val="00441DBA"/>
    <w:rsid w:val="00443996"/>
    <w:rsid w:val="00443A14"/>
    <w:rsid w:val="004443D1"/>
    <w:rsid w:val="00445D4A"/>
    <w:rsid w:val="0044674E"/>
    <w:rsid w:val="00447CFC"/>
    <w:rsid w:val="004511CA"/>
    <w:rsid w:val="00451B45"/>
    <w:rsid w:val="00453BBA"/>
    <w:rsid w:val="0045433E"/>
    <w:rsid w:val="004545A6"/>
    <w:rsid w:val="0045571C"/>
    <w:rsid w:val="00455E87"/>
    <w:rsid w:val="00456CC4"/>
    <w:rsid w:val="0045767B"/>
    <w:rsid w:val="00460EE6"/>
    <w:rsid w:val="00461117"/>
    <w:rsid w:val="00461E68"/>
    <w:rsid w:val="00462AA2"/>
    <w:rsid w:val="00463A45"/>
    <w:rsid w:val="0046441B"/>
    <w:rsid w:val="00466267"/>
    <w:rsid w:val="004666B2"/>
    <w:rsid w:val="00466D4A"/>
    <w:rsid w:val="00467405"/>
    <w:rsid w:val="004705CF"/>
    <w:rsid w:val="004709DB"/>
    <w:rsid w:val="00471E23"/>
    <w:rsid w:val="0047497E"/>
    <w:rsid w:val="004758E4"/>
    <w:rsid w:val="00480980"/>
    <w:rsid w:val="004819E3"/>
    <w:rsid w:val="00482FBA"/>
    <w:rsid w:val="0048401E"/>
    <w:rsid w:val="004841D8"/>
    <w:rsid w:val="00484308"/>
    <w:rsid w:val="00485C5E"/>
    <w:rsid w:val="00491CA1"/>
    <w:rsid w:val="00493EA8"/>
    <w:rsid w:val="00494A28"/>
    <w:rsid w:val="004956D2"/>
    <w:rsid w:val="00495960"/>
    <w:rsid w:val="00495EA5"/>
    <w:rsid w:val="004A134A"/>
    <w:rsid w:val="004A1420"/>
    <w:rsid w:val="004A1C68"/>
    <w:rsid w:val="004A373B"/>
    <w:rsid w:val="004B0624"/>
    <w:rsid w:val="004B0E62"/>
    <w:rsid w:val="004B0EF1"/>
    <w:rsid w:val="004B2711"/>
    <w:rsid w:val="004B2F5D"/>
    <w:rsid w:val="004C1103"/>
    <w:rsid w:val="004C12A6"/>
    <w:rsid w:val="004C3B60"/>
    <w:rsid w:val="004C3E7F"/>
    <w:rsid w:val="004C4404"/>
    <w:rsid w:val="004C47F4"/>
    <w:rsid w:val="004C481E"/>
    <w:rsid w:val="004C48F7"/>
    <w:rsid w:val="004C4A7F"/>
    <w:rsid w:val="004C704A"/>
    <w:rsid w:val="004C71E1"/>
    <w:rsid w:val="004D1156"/>
    <w:rsid w:val="004D18F8"/>
    <w:rsid w:val="004D4165"/>
    <w:rsid w:val="004D4A96"/>
    <w:rsid w:val="004D52CA"/>
    <w:rsid w:val="004D595D"/>
    <w:rsid w:val="004E10C3"/>
    <w:rsid w:val="004E18A9"/>
    <w:rsid w:val="004E3A90"/>
    <w:rsid w:val="004E3FF8"/>
    <w:rsid w:val="004E5332"/>
    <w:rsid w:val="004E70B1"/>
    <w:rsid w:val="004E729A"/>
    <w:rsid w:val="004E7B11"/>
    <w:rsid w:val="004F0CF2"/>
    <w:rsid w:val="004F1D46"/>
    <w:rsid w:val="004F1D4D"/>
    <w:rsid w:val="004F2EA5"/>
    <w:rsid w:val="004F5E52"/>
    <w:rsid w:val="004F60F3"/>
    <w:rsid w:val="005006A0"/>
    <w:rsid w:val="00501487"/>
    <w:rsid w:val="005015DB"/>
    <w:rsid w:val="0050166F"/>
    <w:rsid w:val="00501C98"/>
    <w:rsid w:val="00501D1D"/>
    <w:rsid w:val="00502938"/>
    <w:rsid w:val="0050308B"/>
    <w:rsid w:val="00503234"/>
    <w:rsid w:val="00504106"/>
    <w:rsid w:val="00504C74"/>
    <w:rsid w:val="005063B4"/>
    <w:rsid w:val="00511448"/>
    <w:rsid w:val="00512458"/>
    <w:rsid w:val="00514592"/>
    <w:rsid w:val="0051627F"/>
    <w:rsid w:val="0052096E"/>
    <w:rsid w:val="00520A00"/>
    <w:rsid w:val="00522F52"/>
    <w:rsid w:val="005246B7"/>
    <w:rsid w:val="00525F6F"/>
    <w:rsid w:val="005302D4"/>
    <w:rsid w:val="0053124A"/>
    <w:rsid w:val="005322C6"/>
    <w:rsid w:val="00532D63"/>
    <w:rsid w:val="00534855"/>
    <w:rsid w:val="005365CF"/>
    <w:rsid w:val="00540486"/>
    <w:rsid w:val="005425BE"/>
    <w:rsid w:val="005431E9"/>
    <w:rsid w:val="005432FB"/>
    <w:rsid w:val="005444B0"/>
    <w:rsid w:val="005444DB"/>
    <w:rsid w:val="0054466F"/>
    <w:rsid w:val="0054552D"/>
    <w:rsid w:val="00546BE8"/>
    <w:rsid w:val="00546DEE"/>
    <w:rsid w:val="00550DF3"/>
    <w:rsid w:val="005520F1"/>
    <w:rsid w:val="00552FEF"/>
    <w:rsid w:val="0055411E"/>
    <w:rsid w:val="00555271"/>
    <w:rsid w:val="00556218"/>
    <w:rsid w:val="00557825"/>
    <w:rsid w:val="00557B99"/>
    <w:rsid w:val="00557E5B"/>
    <w:rsid w:val="00561577"/>
    <w:rsid w:val="00564BFB"/>
    <w:rsid w:val="005661A1"/>
    <w:rsid w:val="005679C6"/>
    <w:rsid w:val="00570E49"/>
    <w:rsid w:val="00571886"/>
    <w:rsid w:val="00572AC6"/>
    <w:rsid w:val="00573BA3"/>
    <w:rsid w:val="00574995"/>
    <w:rsid w:val="00575A1F"/>
    <w:rsid w:val="00575C04"/>
    <w:rsid w:val="00576615"/>
    <w:rsid w:val="00580024"/>
    <w:rsid w:val="00580855"/>
    <w:rsid w:val="00581D6A"/>
    <w:rsid w:val="005820FC"/>
    <w:rsid w:val="005822A4"/>
    <w:rsid w:val="00582526"/>
    <w:rsid w:val="005829BF"/>
    <w:rsid w:val="00582E98"/>
    <w:rsid w:val="00594437"/>
    <w:rsid w:val="00595897"/>
    <w:rsid w:val="00595CEF"/>
    <w:rsid w:val="00595E7A"/>
    <w:rsid w:val="005966C0"/>
    <w:rsid w:val="0059691A"/>
    <w:rsid w:val="005A1303"/>
    <w:rsid w:val="005A1795"/>
    <w:rsid w:val="005A3552"/>
    <w:rsid w:val="005A43ED"/>
    <w:rsid w:val="005A4B33"/>
    <w:rsid w:val="005A6E2A"/>
    <w:rsid w:val="005B1EED"/>
    <w:rsid w:val="005B2170"/>
    <w:rsid w:val="005B4C46"/>
    <w:rsid w:val="005B4FD6"/>
    <w:rsid w:val="005B5076"/>
    <w:rsid w:val="005B6E67"/>
    <w:rsid w:val="005B787C"/>
    <w:rsid w:val="005B7E9F"/>
    <w:rsid w:val="005C12FC"/>
    <w:rsid w:val="005C13E4"/>
    <w:rsid w:val="005C27E0"/>
    <w:rsid w:val="005C2B0F"/>
    <w:rsid w:val="005C561D"/>
    <w:rsid w:val="005C5FEB"/>
    <w:rsid w:val="005C7C9B"/>
    <w:rsid w:val="005D0F5B"/>
    <w:rsid w:val="005D2870"/>
    <w:rsid w:val="005D4F36"/>
    <w:rsid w:val="005D55E2"/>
    <w:rsid w:val="005D6EBF"/>
    <w:rsid w:val="005E096B"/>
    <w:rsid w:val="005E224C"/>
    <w:rsid w:val="005E278A"/>
    <w:rsid w:val="005E389C"/>
    <w:rsid w:val="005E45B8"/>
    <w:rsid w:val="005E5516"/>
    <w:rsid w:val="005E56AC"/>
    <w:rsid w:val="005F0A8E"/>
    <w:rsid w:val="005F0AD1"/>
    <w:rsid w:val="005F0B2B"/>
    <w:rsid w:val="005F10F0"/>
    <w:rsid w:val="005F255D"/>
    <w:rsid w:val="005F412C"/>
    <w:rsid w:val="005F511C"/>
    <w:rsid w:val="005F553B"/>
    <w:rsid w:val="00600EB3"/>
    <w:rsid w:val="00601248"/>
    <w:rsid w:val="006013DD"/>
    <w:rsid w:val="00601A66"/>
    <w:rsid w:val="00603915"/>
    <w:rsid w:val="00605F92"/>
    <w:rsid w:val="0060695F"/>
    <w:rsid w:val="00607612"/>
    <w:rsid w:val="00611E07"/>
    <w:rsid w:val="00612507"/>
    <w:rsid w:val="00614E7A"/>
    <w:rsid w:val="006161B0"/>
    <w:rsid w:val="0062059C"/>
    <w:rsid w:val="00621787"/>
    <w:rsid w:val="006261FA"/>
    <w:rsid w:val="00627B6F"/>
    <w:rsid w:val="006300B5"/>
    <w:rsid w:val="00631D89"/>
    <w:rsid w:val="00635D62"/>
    <w:rsid w:val="00635E72"/>
    <w:rsid w:val="0063735A"/>
    <w:rsid w:val="00637B54"/>
    <w:rsid w:val="00637F7B"/>
    <w:rsid w:val="006405DE"/>
    <w:rsid w:val="006410E3"/>
    <w:rsid w:val="00641965"/>
    <w:rsid w:val="00641E86"/>
    <w:rsid w:val="00642A05"/>
    <w:rsid w:val="00644EB5"/>
    <w:rsid w:val="00647CAB"/>
    <w:rsid w:val="00652A4E"/>
    <w:rsid w:val="00652DF6"/>
    <w:rsid w:val="00656183"/>
    <w:rsid w:val="0065756A"/>
    <w:rsid w:val="00657F45"/>
    <w:rsid w:val="00660317"/>
    <w:rsid w:val="00662633"/>
    <w:rsid w:val="00662F63"/>
    <w:rsid w:val="006634AB"/>
    <w:rsid w:val="006634BD"/>
    <w:rsid w:val="00665507"/>
    <w:rsid w:val="00666569"/>
    <w:rsid w:val="006668E2"/>
    <w:rsid w:val="0067186A"/>
    <w:rsid w:val="00673088"/>
    <w:rsid w:val="006738F0"/>
    <w:rsid w:val="00676B42"/>
    <w:rsid w:val="00676E1F"/>
    <w:rsid w:val="00676FE4"/>
    <w:rsid w:val="00677755"/>
    <w:rsid w:val="006824F5"/>
    <w:rsid w:val="006825F1"/>
    <w:rsid w:val="00682CF2"/>
    <w:rsid w:val="006836C3"/>
    <w:rsid w:val="0068450A"/>
    <w:rsid w:val="00687EB0"/>
    <w:rsid w:val="006906BD"/>
    <w:rsid w:val="00691F4B"/>
    <w:rsid w:val="00693300"/>
    <w:rsid w:val="006934F3"/>
    <w:rsid w:val="0069541B"/>
    <w:rsid w:val="00695D2F"/>
    <w:rsid w:val="006969CA"/>
    <w:rsid w:val="00696D77"/>
    <w:rsid w:val="006A009A"/>
    <w:rsid w:val="006A0148"/>
    <w:rsid w:val="006A075E"/>
    <w:rsid w:val="006A0881"/>
    <w:rsid w:val="006A1226"/>
    <w:rsid w:val="006A1DC0"/>
    <w:rsid w:val="006A2C62"/>
    <w:rsid w:val="006A3CDD"/>
    <w:rsid w:val="006A6789"/>
    <w:rsid w:val="006B03AA"/>
    <w:rsid w:val="006B12DF"/>
    <w:rsid w:val="006B2B0A"/>
    <w:rsid w:val="006B47B1"/>
    <w:rsid w:val="006B70A5"/>
    <w:rsid w:val="006C07B2"/>
    <w:rsid w:val="006C1455"/>
    <w:rsid w:val="006C222D"/>
    <w:rsid w:val="006C4F67"/>
    <w:rsid w:val="006C536E"/>
    <w:rsid w:val="006C67A9"/>
    <w:rsid w:val="006D0772"/>
    <w:rsid w:val="006D2328"/>
    <w:rsid w:val="006D2764"/>
    <w:rsid w:val="006D2B64"/>
    <w:rsid w:val="006D2EF2"/>
    <w:rsid w:val="006D3A16"/>
    <w:rsid w:val="006D4BF2"/>
    <w:rsid w:val="006D6539"/>
    <w:rsid w:val="006D7A71"/>
    <w:rsid w:val="006E1327"/>
    <w:rsid w:val="006E13E3"/>
    <w:rsid w:val="006E1517"/>
    <w:rsid w:val="006E1D9F"/>
    <w:rsid w:val="006E3BC6"/>
    <w:rsid w:val="006E4876"/>
    <w:rsid w:val="006E541B"/>
    <w:rsid w:val="006E6DE7"/>
    <w:rsid w:val="006E78CF"/>
    <w:rsid w:val="006E7C44"/>
    <w:rsid w:val="006F15F5"/>
    <w:rsid w:val="006F4803"/>
    <w:rsid w:val="006F63AE"/>
    <w:rsid w:val="006F6E30"/>
    <w:rsid w:val="00701B80"/>
    <w:rsid w:val="00701E30"/>
    <w:rsid w:val="0070247A"/>
    <w:rsid w:val="00703A08"/>
    <w:rsid w:val="00704912"/>
    <w:rsid w:val="007054D8"/>
    <w:rsid w:val="00705D42"/>
    <w:rsid w:val="00705E9D"/>
    <w:rsid w:val="007062E6"/>
    <w:rsid w:val="0070645D"/>
    <w:rsid w:val="00706536"/>
    <w:rsid w:val="00706828"/>
    <w:rsid w:val="00711B5E"/>
    <w:rsid w:val="00712165"/>
    <w:rsid w:val="00714C74"/>
    <w:rsid w:val="00714E12"/>
    <w:rsid w:val="007156EC"/>
    <w:rsid w:val="00715CE2"/>
    <w:rsid w:val="007175E3"/>
    <w:rsid w:val="007179CE"/>
    <w:rsid w:val="0072084D"/>
    <w:rsid w:val="007219AA"/>
    <w:rsid w:val="0072253F"/>
    <w:rsid w:val="00723ACE"/>
    <w:rsid w:val="007245FA"/>
    <w:rsid w:val="00725D3A"/>
    <w:rsid w:val="00725F38"/>
    <w:rsid w:val="0073003C"/>
    <w:rsid w:val="007300E1"/>
    <w:rsid w:val="00730D43"/>
    <w:rsid w:val="00731D7C"/>
    <w:rsid w:val="0074248E"/>
    <w:rsid w:val="00742686"/>
    <w:rsid w:val="0074398E"/>
    <w:rsid w:val="00743C60"/>
    <w:rsid w:val="0074598B"/>
    <w:rsid w:val="00745CBE"/>
    <w:rsid w:val="00747604"/>
    <w:rsid w:val="00747FDE"/>
    <w:rsid w:val="00750A66"/>
    <w:rsid w:val="007517D0"/>
    <w:rsid w:val="0075358A"/>
    <w:rsid w:val="0075582A"/>
    <w:rsid w:val="00755BD2"/>
    <w:rsid w:val="00755BE9"/>
    <w:rsid w:val="00756556"/>
    <w:rsid w:val="00757249"/>
    <w:rsid w:val="00761126"/>
    <w:rsid w:val="0076218E"/>
    <w:rsid w:val="0076263F"/>
    <w:rsid w:val="007629FC"/>
    <w:rsid w:val="00762C57"/>
    <w:rsid w:val="00764D45"/>
    <w:rsid w:val="0076560D"/>
    <w:rsid w:val="0076583F"/>
    <w:rsid w:val="0077114D"/>
    <w:rsid w:val="007720B2"/>
    <w:rsid w:val="0077329F"/>
    <w:rsid w:val="0077411C"/>
    <w:rsid w:val="0077464D"/>
    <w:rsid w:val="00776FCD"/>
    <w:rsid w:val="00777257"/>
    <w:rsid w:val="00780281"/>
    <w:rsid w:val="007834EF"/>
    <w:rsid w:val="00783C82"/>
    <w:rsid w:val="007858B9"/>
    <w:rsid w:val="00786084"/>
    <w:rsid w:val="00787154"/>
    <w:rsid w:val="00787CFD"/>
    <w:rsid w:val="00787DC7"/>
    <w:rsid w:val="00790BA8"/>
    <w:rsid w:val="007923ED"/>
    <w:rsid w:val="007928F7"/>
    <w:rsid w:val="00793FE9"/>
    <w:rsid w:val="007940FB"/>
    <w:rsid w:val="0079498A"/>
    <w:rsid w:val="00795E41"/>
    <w:rsid w:val="007A0ED4"/>
    <w:rsid w:val="007A449D"/>
    <w:rsid w:val="007A5BEE"/>
    <w:rsid w:val="007A5DE4"/>
    <w:rsid w:val="007A6A6D"/>
    <w:rsid w:val="007A767E"/>
    <w:rsid w:val="007B03DD"/>
    <w:rsid w:val="007B166C"/>
    <w:rsid w:val="007B1E74"/>
    <w:rsid w:val="007B24B8"/>
    <w:rsid w:val="007B3A52"/>
    <w:rsid w:val="007B46F1"/>
    <w:rsid w:val="007B483C"/>
    <w:rsid w:val="007B6431"/>
    <w:rsid w:val="007B7ED7"/>
    <w:rsid w:val="007C36BD"/>
    <w:rsid w:val="007C4202"/>
    <w:rsid w:val="007C4261"/>
    <w:rsid w:val="007C4270"/>
    <w:rsid w:val="007C5373"/>
    <w:rsid w:val="007C569F"/>
    <w:rsid w:val="007C5C51"/>
    <w:rsid w:val="007C6DC0"/>
    <w:rsid w:val="007C7673"/>
    <w:rsid w:val="007C7BF8"/>
    <w:rsid w:val="007D1E81"/>
    <w:rsid w:val="007D2082"/>
    <w:rsid w:val="007D3279"/>
    <w:rsid w:val="007D3C11"/>
    <w:rsid w:val="007D4E09"/>
    <w:rsid w:val="007D4E19"/>
    <w:rsid w:val="007D55A9"/>
    <w:rsid w:val="007D625C"/>
    <w:rsid w:val="007E0473"/>
    <w:rsid w:val="007E1D75"/>
    <w:rsid w:val="007E20EE"/>
    <w:rsid w:val="007E30A5"/>
    <w:rsid w:val="007E33D9"/>
    <w:rsid w:val="007E4131"/>
    <w:rsid w:val="007E4BDB"/>
    <w:rsid w:val="007E6C21"/>
    <w:rsid w:val="007E7ECF"/>
    <w:rsid w:val="007F1382"/>
    <w:rsid w:val="007F1E50"/>
    <w:rsid w:val="007F2E6B"/>
    <w:rsid w:val="007F3B5A"/>
    <w:rsid w:val="007F3F2A"/>
    <w:rsid w:val="007F5BE7"/>
    <w:rsid w:val="007F6A65"/>
    <w:rsid w:val="007F6A85"/>
    <w:rsid w:val="00800E7B"/>
    <w:rsid w:val="008023EA"/>
    <w:rsid w:val="00802F72"/>
    <w:rsid w:val="00803B44"/>
    <w:rsid w:val="008053D8"/>
    <w:rsid w:val="008066C6"/>
    <w:rsid w:val="00810FE9"/>
    <w:rsid w:val="008113E4"/>
    <w:rsid w:val="008118E3"/>
    <w:rsid w:val="00812624"/>
    <w:rsid w:val="00814D4C"/>
    <w:rsid w:val="00814E58"/>
    <w:rsid w:val="00815FA8"/>
    <w:rsid w:val="00816BA1"/>
    <w:rsid w:val="00816E78"/>
    <w:rsid w:val="00816FD1"/>
    <w:rsid w:val="008171EB"/>
    <w:rsid w:val="00820B3A"/>
    <w:rsid w:val="00821F12"/>
    <w:rsid w:val="0082372E"/>
    <w:rsid w:val="00823AE4"/>
    <w:rsid w:val="0082644B"/>
    <w:rsid w:val="00827820"/>
    <w:rsid w:val="00827B8F"/>
    <w:rsid w:val="00827E42"/>
    <w:rsid w:val="0083066D"/>
    <w:rsid w:val="00833597"/>
    <w:rsid w:val="00834A6C"/>
    <w:rsid w:val="00835889"/>
    <w:rsid w:val="00836710"/>
    <w:rsid w:val="008377B6"/>
    <w:rsid w:val="0084140B"/>
    <w:rsid w:val="008421E9"/>
    <w:rsid w:val="008422DA"/>
    <w:rsid w:val="008449CB"/>
    <w:rsid w:val="00846FE1"/>
    <w:rsid w:val="00847867"/>
    <w:rsid w:val="00847978"/>
    <w:rsid w:val="00847D6A"/>
    <w:rsid w:val="00847F56"/>
    <w:rsid w:val="008513CC"/>
    <w:rsid w:val="0085251C"/>
    <w:rsid w:val="00853617"/>
    <w:rsid w:val="008542F6"/>
    <w:rsid w:val="00855B37"/>
    <w:rsid w:val="00856FF0"/>
    <w:rsid w:val="00860FFD"/>
    <w:rsid w:val="00862619"/>
    <w:rsid w:val="0086456D"/>
    <w:rsid w:val="00864D42"/>
    <w:rsid w:val="008658B9"/>
    <w:rsid w:val="00866125"/>
    <w:rsid w:val="008665E9"/>
    <w:rsid w:val="00866C6E"/>
    <w:rsid w:val="00867020"/>
    <w:rsid w:val="0086760F"/>
    <w:rsid w:val="008718E3"/>
    <w:rsid w:val="00871F48"/>
    <w:rsid w:val="00872444"/>
    <w:rsid w:val="00872A9F"/>
    <w:rsid w:val="00874D83"/>
    <w:rsid w:val="0088080A"/>
    <w:rsid w:val="00880D0C"/>
    <w:rsid w:val="00881FE1"/>
    <w:rsid w:val="0088293F"/>
    <w:rsid w:val="00884D98"/>
    <w:rsid w:val="008861BE"/>
    <w:rsid w:val="008875C0"/>
    <w:rsid w:val="00890854"/>
    <w:rsid w:val="008949AA"/>
    <w:rsid w:val="00894A61"/>
    <w:rsid w:val="00897175"/>
    <w:rsid w:val="00897BAB"/>
    <w:rsid w:val="008A1A7E"/>
    <w:rsid w:val="008A1D37"/>
    <w:rsid w:val="008A2417"/>
    <w:rsid w:val="008A30FF"/>
    <w:rsid w:val="008A39FE"/>
    <w:rsid w:val="008A3D08"/>
    <w:rsid w:val="008A44F3"/>
    <w:rsid w:val="008A54CF"/>
    <w:rsid w:val="008A5C62"/>
    <w:rsid w:val="008A5E7C"/>
    <w:rsid w:val="008A65B9"/>
    <w:rsid w:val="008A7858"/>
    <w:rsid w:val="008B2DDC"/>
    <w:rsid w:val="008B3628"/>
    <w:rsid w:val="008B393A"/>
    <w:rsid w:val="008B3CF9"/>
    <w:rsid w:val="008B4CD5"/>
    <w:rsid w:val="008B5424"/>
    <w:rsid w:val="008B5CAE"/>
    <w:rsid w:val="008B5DD4"/>
    <w:rsid w:val="008C2573"/>
    <w:rsid w:val="008C2E94"/>
    <w:rsid w:val="008C7D54"/>
    <w:rsid w:val="008D1400"/>
    <w:rsid w:val="008D19A9"/>
    <w:rsid w:val="008D47A7"/>
    <w:rsid w:val="008D4AD4"/>
    <w:rsid w:val="008D4C14"/>
    <w:rsid w:val="008D5701"/>
    <w:rsid w:val="008D62AD"/>
    <w:rsid w:val="008E074B"/>
    <w:rsid w:val="008E42AA"/>
    <w:rsid w:val="008E4FB0"/>
    <w:rsid w:val="008E5C99"/>
    <w:rsid w:val="008E6664"/>
    <w:rsid w:val="008F1B47"/>
    <w:rsid w:val="008F2E4C"/>
    <w:rsid w:val="008F38E2"/>
    <w:rsid w:val="008F6443"/>
    <w:rsid w:val="008F66B7"/>
    <w:rsid w:val="00900E8A"/>
    <w:rsid w:val="009017AB"/>
    <w:rsid w:val="0090288E"/>
    <w:rsid w:val="00904EB7"/>
    <w:rsid w:val="009052BE"/>
    <w:rsid w:val="009059C9"/>
    <w:rsid w:val="00907974"/>
    <w:rsid w:val="00910711"/>
    <w:rsid w:val="009107B1"/>
    <w:rsid w:val="009113B0"/>
    <w:rsid w:val="00911FD9"/>
    <w:rsid w:val="00912884"/>
    <w:rsid w:val="00912FC1"/>
    <w:rsid w:val="009133AA"/>
    <w:rsid w:val="00915B2E"/>
    <w:rsid w:val="00917B01"/>
    <w:rsid w:val="0092001A"/>
    <w:rsid w:val="009203E1"/>
    <w:rsid w:val="0092318F"/>
    <w:rsid w:val="00925951"/>
    <w:rsid w:val="00927B05"/>
    <w:rsid w:val="00927BCA"/>
    <w:rsid w:val="00930A10"/>
    <w:rsid w:val="00931A4F"/>
    <w:rsid w:val="00931BA1"/>
    <w:rsid w:val="00934D02"/>
    <w:rsid w:val="00937310"/>
    <w:rsid w:val="009377F7"/>
    <w:rsid w:val="0094109A"/>
    <w:rsid w:val="00941151"/>
    <w:rsid w:val="00941AE4"/>
    <w:rsid w:val="00941ED1"/>
    <w:rsid w:val="00942071"/>
    <w:rsid w:val="00944407"/>
    <w:rsid w:val="00944647"/>
    <w:rsid w:val="0094719E"/>
    <w:rsid w:val="00951C5A"/>
    <w:rsid w:val="00952728"/>
    <w:rsid w:val="009533A6"/>
    <w:rsid w:val="00954B43"/>
    <w:rsid w:val="00955CCA"/>
    <w:rsid w:val="0095640F"/>
    <w:rsid w:val="0095696F"/>
    <w:rsid w:val="00957637"/>
    <w:rsid w:val="0096056D"/>
    <w:rsid w:val="00960BCD"/>
    <w:rsid w:val="00961080"/>
    <w:rsid w:val="009670B5"/>
    <w:rsid w:val="009677B5"/>
    <w:rsid w:val="0097252F"/>
    <w:rsid w:val="00972AA9"/>
    <w:rsid w:val="00973DEB"/>
    <w:rsid w:val="0097446C"/>
    <w:rsid w:val="009805A2"/>
    <w:rsid w:val="0098162F"/>
    <w:rsid w:val="00982055"/>
    <w:rsid w:val="00985032"/>
    <w:rsid w:val="009871B7"/>
    <w:rsid w:val="00991259"/>
    <w:rsid w:val="00991986"/>
    <w:rsid w:val="00991C5A"/>
    <w:rsid w:val="009926A8"/>
    <w:rsid w:val="009927C5"/>
    <w:rsid w:val="0099526F"/>
    <w:rsid w:val="00995546"/>
    <w:rsid w:val="00997BD3"/>
    <w:rsid w:val="009A02D2"/>
    <w:rsid w:val="009A0EF5"/>
    <w:rsid w:val="009A186A"/>
    <w:rsid w:val="009A21B9"/>
    <w:rsid w:val="009A3D3F"/>
    <w:rsid w:val="009A610E"/>
    <w:rsid w:val="009A6A44"/>
    <w:rsid w:val="009A7AF7"/>
    <w:rsid w:val="009A7B39"/>
    <w:rsid w:val="009B1127"/>
    <w:rsid w:val="009B1BA5"/>
    <w:rsid w:val="009B2115"/>
    <w:rsid w:val="009B4D19"/>
    <w:rsid w:val="009C0614"/>
    <w:rsid w:val="009C274E"/>
    <w:rsid w:val="009C2B6A"/>
    <w:rsid w:val="009C306E"/>
    <w:rsid w:val="009C3619"/>
    <w:rsid w:val="009C4920"/>
    <w:rsid w:val="009C5C1A"/>
    <w:rsid w:val="009C6C21"/>
    <w:rsid w:val="009D1C41"/>
    <w:rsid w:val="009D3517"/>
    <w:rsid w:val="009D382E"/>
    <w:rsid w:val="009D3ECE"/>
    <w:rsid w:val="009D4030"/>
    <w:rsid w:val="009D4B29"/>
    <w:rsid w:val="009D4F54"/>
    <w:rsid w:val="009D593B"/>
    <w:rsid w:val="009D6FD5"/>
    <w:rsid w:val="009D718F"/>
    <w:rsid w:val="009E01EE"/>
    <w:rsid w:val="009E16BF"/>
    <w:rsid w:val="009E471E"/>
    <w:rsid w:val="009E4D5C"/>
    <w:rsid w:val="009E62BD"/>
    <w:rsid w:val="009E6FC7"/>
    <w:rsid w:val="009E7913"/>
    <w:rsid w:val="009F17D7"/>
    <w:rsid w:val="009F2025"/>
    <w:rsid w:val="009F21C6"/>
    <w:rsid w:val="009F2F39"/>
    <w:rsid w:val="009F3523"/>
    <w:rsid w:val="009F3825"/>
    <w:rsid w:val="009F761C"/>
    <w:rsid w:val="009F77ED"/>
    <w:rsid w:val="00A002CE"/>
    <w:rsid w:val="00A00F9D"/>
    <w:rsid w:val="00A012E0"/>
    <w:rsid w:val="00A0443E"/>
    <w:rsid w:val="00A04977"/>
    <w:rsid w:val="00A05B1D"/>
    <w:rsid w:val="00A0756B"/>
    <w:rsid w:val="00A07ABB"/>
    <w:rsid w:val="00A102C9"/>
    <w:rsid w:val="00A10A79"/>
    <w:rsid w:val="00A14BCB"/>
    <w:rsid w:val="00A15375"/>
    <w:rsid w:val="00A15C44"/>
    <w:rsid w:val="00A175B6"/>
    <w:rsid w:val="00A17DAE"/>
    <w:rsid w:val="00A21CC9"/>
    <w:rsid w:val="00A256E0"/>
    <w:rsid w:val="00A25C85"/>
    <w:rsid w:val="00A27279"/>
    <w:rsid w:val="00A27ECA"/>
    <w:rsid w:val="00A30587"/>
    <w:rsid w:val="00A305D0"/>
    <w:rsid w:val="00A3132E"/>
    <w:rsid w:val="00A31AD0"/>
    <w:rsid w:val="00A323AE"/>
    <w:rsid w:val="00A3257B"/>
    <w:rsid w:val="00A3589B"/>
    <w:rsid w:val="00A3622F"/>
    <w:rsid w:val="00A364E2"/>
    <w:rsid w:val="00A36FDA"/>
    <w:rsid w:val="00A4088C"/>
    <w:rsid w:val="00A46CAC"/>
    <w:rsid w:val="00A47490"/>
    <w:rsid w:val="00A479C5"/>
    <w:rsid w:val="00A51E2D"/>
    <w:rsid w:val="00A52879"/>
    <w:rsid w:val="00A52F00"/>
    <w:rsid w:val="00A53D46"/>
    <w:rsid w:val="00A54846"/>
    <w:rsid w:val="00A54C1D"/>
    <w:rsid w:val="00A5589F"/>
    <w:rsid w:val="00A560A3"/>
    <w:rsid w:val="00A57E47"/>
    <w:rsid w:val="00A607AE"/>
    <w:rsid w:val="00A61670"/>
    <w:rsid w:val="00A62682"/>
    <w:rsid w:val="00A6333E"/>
    <w:rsid w:val="00A65E07"/>
    <w:rsid w:val="00A66313"/>
    <w:rsid w:val="00A675C4"/>
    <w:rsid w:val="00A73812"/>
    <w:rsid w:val="00A77F2C"/>
    <w:rsid w:val="00A8022B"/>
    <w:rsid w:val="00A807A4"/>
    <w:rsid w:val="00A84B4D"/>
    <w:rsid w:val="00A87786"/>
    <w:rsid w:val="00A87AE8"/>
    <w:rsid w:val="00A90CFB"/>
    <w:rsid w:val="00A91E43"/>
    <w:rsid w:val="00A92F26"/>
    <w:rsid w:val="00A94EE7"/>
    <w:rsid w:val="00A96087"/>
    <w:rsid w:val="00A9746E"/>
    <w:rsid w:val="00A97AAE"/>
    <w:rsid w:val="00A97FC9"/>
    <w:rsid w:val="00AA1239"/>
    <w:rsid w:val="00AA1676"/>
    <w:rsid w:val="00AA195E"/>
    <w:rsid w:val="00AA20DA"/>
    <w:rsid w:val="00AA21C1"/>
    <w:rsid w:val="00AA4A6B"/>
    <w:rsid w:val="00AA63EB"/>
    <w:rsid w:val="00AA7A64"/>
    <w:rsid w:val="00AB2DE5"/>
    <w:rsid w:val="00AB3874"/>
    <w:rsid w:val="00AB3D65"/>
    <w:rsid w:val="00AB420E"/>
    <w:rsid w:val="00AB43CD"/>
    <w:rsid w:val="00AB43E5"/>
    <w:rsid w:val="00AB685B"/>
    <w:rsid w:val="00AB73B6"/>
    <w:rsid w:val="00AC00A4"/>
    <w:rsid w:val="00AC0D2B"/>
    <w:rsid w:val="00AC187D"/>
    <w:rsid w:val="00AC24A0"/>
    <w:rsid w:val="00AC2922"/>
    <w:rsid w:val="00AC35CB"/>
    <w:rsid w:val="00AC3BE7"/>
    <w:rsid w:val="00AC42B3"/>
    <w:rsid w:val="00AC46D9"/>
    <w:rsid w:val="00AC475D"/>
    <w:rsid w:val="00AC5CF9"/>
    <w:rsid w:val="00AC5E03"/>
    <w:rsid w:val="00AC6C06"/>
    <w:rsid w:val="00AC6CDD"/>
    <w:rsid w:val="00AC7A12"/>
    <w:rsid w:val="00AD021D"/>
    <w:rsid w:val="00AD0369"/>
    <w:rsid w:val="00AD045B"/>
    <w:rsid w:val="00AD50F4"/>
    <w:rsid w:val="00AD5BCB"/>
    <w:rsid w:val="00AD6564"/>
    <w:rsid w:val="00AD67F7"/>
    <w:rsid w:val="00AE031B"/>
    <w:rsid w:val="00AE0406"/>
    <w:rsid w:val="00AE09A0"/>
    <w:rsid w:val="00AE1FC5"/>
    <w:rsid w:val="00AE34B2"/>
    <w:rsid w:val="00AE3FB2"/>
    <w:rsid w:val="00AE4F0D"/>
    <w:rsid w:val="00AF08E1"/>
    <w:rsid w:val="00AF1497"/>
    <w:rsid w:val="00AF1A6B"/>
    <w:rsid w:val="00AF2025"/>
    <w:rsid w:val="00AF230E"/>
    <w:rsid w:val="00AF26BA"/>
    <w:rsid w:val="00AF5761"/>
    <w:rsid w:val="00AF6B3D"/>
    <w:rsid w:val="00AF7035"/>
    <w:rsid w:val="00B01370"/>
    <w:rsid w:val="00B01DF5"/>
    <w:rsid w:val="00B02399"/>
    <w:rsid w:val="00B027A8"/>
    <w:rsid w:val="00B02A34"/>
    <w:rsid w:val="00B02A65"/>
    <w:rsid w:val="00B03799"/>
    <w:rsid w:val="00B03C1F"/>
    <w:rsid w:val="00B0440F"/>
    <w:rsid w:val="00B0637C"/>
    <w:rsid w:val="00B065F9"/>
    <w:rsid w:val="00B1122C"/>
    <w:rsid w:val="00B12485"/>
    <w:rsid w:val="00B20F6F"/>
    <w:rsid w:val="00B212F8"/>
    <w:rsid w:val="00B21371"/>
    <w:rsid w:val="00B216D9"/>
    <w:rsid w:val="00B21FE0"/>
    <w:rsid w:val="00B24FED"/>
    <w:rsid w:val="00B256CF"/>
    <w:rsid w:val="00B264C0"/>
    <w:rsid w:val="00B30826"/>
    <w:rsid w:val="00B3269D"/>
    <w:rsid w:val="00B33A00"/>
    <w:rsid w:val="00B35495"/>
    <w:rsid w:val="00B36EB3"/>
    <w:rsid w:val="00B37094"/>
    <w:rsid w:val="00B40AE4"/>
    <w:rsid w:val="00B417F5"/>
    <w:rsid w:val="00B4244D"/>
    <w:rsid w:val="00B428FB"/>
    <w:rsid w:val="00B42E35"/>
    <w:rsid w:val="00B43E00"/>
    <w:rsid w:val="00B47640"/>
    <w:rsid w:val="00B47F4B"/>
    <w:rsid w:val="00B51F89"/>
    <w:rsid w:val="00B529BD"/>
    <w:rsid w:val="00B535F6"/>
    <w:rsid w:val="00B54F3B"/>
    <w:rsid w:val="00B6174E"/>
    <w:rsid w:val="00B634F9"/>
    <w:rsid w:val="00B63BD3"/>
    <w:rsid w:val="00B64BFA"/>
    <w:rsid w:val="00B65322"/>
    <w:rsid w:val="00B668B5"/>
    <w:rsid w:val="00B66BD4"/>
    <w:rsid w:val="00B670AA"/>
    <w:rsid w:val="00B70005"/>
    <w:rsid w:val="00B712DD"/>
    <w:rsid w:val="00B72A7C"/>
    <w:rsid w:val="00B73217"/>
    <w:rsid w:val="00B75A87"/>
    <w:rsid w:val="00B75ECE"/>
    <w:rsid w:val="00B77990"/>
    <w:rsid w:val="00B801E5"/>
    <w:rsid w:val="00B80896"/>
    <w:rsid w:val="00B81725"/>
    <w:rsid w:val="00B838A2"/>
    <w:rsid w:val="00B83E99"/>
    <w:rsid w:val="00B84052"/>
    <w:rsid w:val="00B84340"/>
    <w:rsid w:val="00B8689E"/>
    <w:rsid w:val="00B87846"/>
    <w:rsid w:val="00B91626"/>
    <w:rsid w:val="00B923D5"/>
    <w:rsid w:val="00B925FE"/>
    <w:rsid w:val="00B92953"/>
    <w:rsid w:val="00B92F85"/>
    <w:rsid w:val="00B93843"/>
    <w:rsid w:val="00B940E2"/>
    <w:rsid w:val="00B94E23"/>
    <w:rsid w:val="00B950E8"/>
    <w:rsid w:val="00B9554D"/>
    <w:rsid w:val="00B967F6"/>
    <w:rsid w:val="00B97E25"/>
    <w:rsid w:val="00BA0334"/>
    <w:rsid w:val="00BA1592"/>
    <w:rsid w:val="00BA1BA4"/>
    <w:rsid w:val="00BA1D41"/>
    <w:rsid w:val="00BA1F8E"/>
    <w:rsid w:val="00BA58FA"/>
    <w:rsid w:val="00BA63B2"/>
    <w:rsid w:val="00BA6A22"/>
    <w:rsid w:val="00BA7E09"/>
    <w:rsid w:val="00BB010D"/>
    <w:rsid w:val="00BB075F"/>
    <w:rsid w:val="00BB1A28"/>
    <w:rsid w:val="00BB280D"/>
    <w:rsid w:val="00BB3F36"/>
    <w:rsid w:val="00BB3F6E"/>
    <w:rsid w:val="00BB4216"/>
    <w:rsid w:val="00BB72DA"/>
    <w:rsid w:val="00BC0031"/>
    <w:rsid w:val="00BC1483"/>
    <w:rsid w:val="00BC19AA"/>
    <w:rsid w:val="00BC29AA"/>
    <w:rsid w:val="00BC4182"/>
    <w:rsid w:val="00BC7317"/>
    <w:rsid w:val="00BD1C6C"/>
    <w:rsid w:val="00BD37D9"/>
    <w:rsid w:val="00BD3CB6"/>
    <w:rsid w:val="00BD70DA"/>
    <w:rsid w:val="00BD77C0"/>
    <w:rsid w:val="00BE049D"/>
    <w:rsid w:val="00BE0F1A"/>
    <w:rsid w:val="00BE1BF4"/>
    <w:rsid w:val="00BE1CC8"/>
    <w:rsid w:val="00BE2701"/>
    <w:rsid w:val="00BE2EF7"/>
    <w:rsid w:val="00BE3879"/>
    <w:rsid w:val="00BE47BE"/>
    <w:rsid w:val="00BE5975"/>
    <w:rsid w:val="00BE604E"/>
    <w:rsid w:val="00BE67C4"/>
    <w:rsid w:val="00BF633E"/>
    <w:rsid w:val="00C01F79"/>
    <w:rsid w:val="00C02C1E"/>
    <w:rsid w:val="00C03ADD"/>
    <w:rsid w:val="00C03C2F"/>
    <w:rsid w:val="00C04E7C"/>
    <w:rsid w:val="00C0556D"/>
    <w:rsid w:val="00C062BD"/>
    <w:rsid w:val="00C066C6"/>
    <w:rsid w:val="00C0693E"/>
    <w:rsid w:val="00C069B6"/>
    <w:rsid w:val="00C06B9B"/>
    <w:rsid w:val="00C06C66"/>
    <w:rsid w:val="00C06D86"/>
    <w:rsid w:val="00C074C3"/>
    <w:rsid w:val="00C1046E"/>
    <w:rsid w:val="00C10D09"/>
    <w:rsid w:val="00C12E5F"/>
    <w:rsid w:val="00C171C2"/>
    <w:rsid w:val="00C202C4"/>
    <w:rsid w:val="00C202D2"/>
    <w:rsid w:val="00C211E3"/>
    <w:rsid w:val="00C22DFD"/>
    <w:rsid w:val="00C249B1"/>
    <w:rsid w:val="00C25874"/>
    <w:rsid w:val="00C26D35"/>
    <w:rsid w:val="00C27369"/>
    <w:rsid w:val="00C274A5"/>
    <w:rsid w:val="00C3055A"/>
    <w:rsid w:val="00C31574"/>
    <w:rsid w:val="00C346CF"/>
    <w:rsid w:val="00C34EA6"/>
    <w:rsid w:val="00C356C0"/>
    <w:rsid w:val="00C36B88"/>
    <w:rsid w:val="00C374B7"/>
    <w:rsid w:val="00C37B27"/>
    <w:rsid w:val="00C41F99"/>
    <w:rsid w:val="00C43BD5"/>
    <w:rsid w:val="00C44696"/>
    <w:rsid w:val="00C511DC"/>
    <w:rsid w:val="00C5125D"/>
    <w:rsid w:val="00C52050"/>
    <w:rsid w:val="00C53BE2"/>
    <w:rsid w:val="00C54A09"/>
    <w:rsid w:val="00C61E46"/>
    <w:rsid w:val="00C61FBB"/>
    <w:rsid w:val="00C62055"/>
    <w:rsid w:val="00C63F19"/>
    <w:rsid w:val="00C645D0"/>
    <w:rsid w:val="00C652E8"/>
    <w:rsid w:val="00C6592E"/>
    <w:rsid w:val="00C659D4"/>
    <w:rsid w:val="00C65B95"/>
    <w:rsid w:val="00C66870"/>
    <w:rsid w:val="00C67B1B"/>
    <w:rsid w:val="00C71C31"/>
    <w:rsid w:val="00C7246A"/>
    <w:rsid w:val="00C72B61"/>
    <w:rsid w:val="00C74F2B"/>
    <w:rsid w:val="00C7680D"/>
    <w:rsid w:val="00C771DD"/>
    <w:rsid w:val="00C77478"/>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4C34"/>
    <w:rsid w:val="00C9523C"/>
    <w:rsid w:val="00C970CA"/>
    <w:rsid w:val="00CA0AF7"/>
    <w:rsid w:val="00CA1A35"/>
    <w:rsid w:val="00CA3B69"/>
    <w:rsid w:val="00CA502B"/>
    <w:rsid w:val="00CA72CB"/>
    <w:rsid w:val="00CB1460"/>
    <w:rsid w:val="00CB600B"/>
    <w:rsid w:val="00CC024D"/>
    <w:rsid w:val="00CC0300"/>
    <w:rsid w:val="00CC0E65"/>
    <w:rsid w:val="00CC4D74"/>
    <w:rsid w:val="00CD2FAB"/>
    <w:rsid w:val="00CD3746"/>
    <w:rsid w:val="00CD3836"/>
    <w:rsid w:val="00CD4E07"/>
    <w:rsid w:val="00CD5B36"/>
    <w:rsid w:val="00CE0F4A"/>
    <w:rsid w:val="00CE303E"/>
    <w:rsid w:val="00CE34B4"/>
    <w:rsid w:val="00CE3C6B"/>
    <w:rsid w:val="00CE4AFC"/>
    <w:rsid w:val="00CE5047"/>
    <w:rsid w:val="00CE6376"/>
    <w:rsid w:val="00CF07F2"/>
    <w:rsid w:val="00CF4CD7"/>
    <w:rsid w:val="00CF4F72"/>
    <w:rsid w:val="00CF7BEF"/>
    <w:rsid w:val="00D00C3C"/>
    <w:rsid w:val="00D01153"/>
    <w:rsid w:val="00D01E89"/>
    <w:rsid w:val="00D03F29"/>
    <w:rsid w:val="00D06B34"/>
    <w:rsid w:val="00D10852"/>
    <w:rsid w:val="00D11194"/>
    <w:rsid w:val="00D1170A"/>
    <w:rsid w:val="00D13062"/>
    <w:rsid w:val="00D15AE3"/>
    <w:rsid w:val="00D169C0"/>
    <w:rsid w:val="00D17561"/>
    <w:rsid w:val="00D17DEF"/>
    <w:rsid w:val="00D22358"/>
    <w:rsid w:val="00D228F0"/>
    <w:rsid w:val="00D22B48"/>
    <w:rsid w:val="00D23BC6"/>
    <w:rsid w:val="00D24074"/>
    <w:rsid w:val="00D24A12"/>
    <w:rsid w:val="00D251B3"/>
    <w:rsid w:val="00D25EE0"/>
    <w:rsid w:val="00D2691B"/>
    <w:rsid w:val="00D2726B"/>
    <w:rsid w:val="00D31ED7"/>
    <w:rsid w:val="00D335D3"/>
    <w:rsid w:val="00D342E1"/>
    <w:rsid w:val="00D34F6B"/>
    <w:rsid w:val="00D3626C"/>
    <w:rsid w:val="00D3675B"/>
    <w:rsid w:val="00D3709E"/>
    <w:rsid w:val="00D375E5"/>
    <w:rsid w:val="00D37B1B"/>
    <w:rsid w:val="00D404FE"/>
    <w:rsid w:val="00D41705"/>
    <w:rsid w:val="00D4237B"/>
    <w:rsid w:val="00D42617"/>
    <w:rsid w:val="00D4393D"/>
    <w:rsid w:val="00D4410A"/>
    <w:rsid w:val="00D45DC9"/>
    <w:rsid w:val="00D467F3"/>
    <w:rsid w:val="00D470D9"/>
    <w:rsid w:val="00D514E5"/>
    <w:rsid w:val="00D51BFF"/>
    <w:rsid w:val="00D52900"/>
    <w:rsid w:val="00D52BF7"/>
    <w:rsid w:val="00D5413D"/>
    <w:rsid w:val="00D54331"/>
    <w:rsid w:val="00D60964"/>
    <w:rsid w:val="00D61019"/>
    <w:rsid w:val="00D6151D"/>
    <w:rsid w:val="00D635ED"/>
    <w:rsid w:val="00D638D7"/>
    <w:rsid w:val="00D640AE"/>
    <w:rsid w:val="00D64872"/>
    <w:rsid w:val="00D65238"/>
    <w:rsid w:val="00D65411"/>
    <w:rsid w:val="00D65603"/>
    <w:rsid w:val="00D7027F"/>
    <w:rsid w:val="00D72BE7"/>
    <w:rsid w:val="00D74A23"/>
    <w:rsid w:val="00D75695"/>
    <w:rsid w:val="00D757C7"/>
    <w:rsid w:val="00D75DAE"/>
    <w:rsid w:val="00D76686"/>
    <w:rsid w:val="00D76BEA"/>
    <w:rsid w:val="00D76BF6"/>
    <w:rsid w:val="00D7752D"/>
    <w:rsid w:val="00D77534"/>
    <w:rsid w:val="00D77B0C"/>
    <w:rsid w:val="00D77E1F"/>
    <w:rsid w:val="00D80FF2"/>
    <w:rsid w:val="00D81340"/>
    <w:rsid w:val="00D814C4"/>
    <w:rsid w:val="00D816A8"/>
    <w:rsid w:val="00D832E8"/>
    <w:rsid w:val="00D85154"/>
    <w:rsid w:val="00D864A1"/>
    <w:rsid w:val="00D86BA9"/>
    <w:rsid w:val="00D90F18"/>
    <w:rsid w:val="00D915AA"/>
    <w:rsid w:val="00D93135"/>
    <w:rsid w:val="00D93928"/>
    <w:rsid w:val="00D9424B"/>
    <w:rsid w:val="00D94E2B"/>
    <w:rsid w:val="00D95874"/>
    <w:rsid w:val="00D9740C"/>
    <w:rsid w:val="00DA03F7"/>
    <w:rsid w:val="00DA10A4"/>
    <w:rsid w:val="00DA3F6D"/>
    <w:rsid w:val="00DA4124"/>
    <w:rsid w:val="00DA648C"/>
    <w:rsid w:val="00DA6933"/>
    <w:rsid w:val="00DA7E9F"/>
    <w:rsid w:val="00DB3C5A"/>
    <w:rsid w:val="00DB5B56"/>
    <w:rsid w:val="00DB6577"/>
    <w:rsid w:val="00DC0B6E"/>
    <w:rsid w:val="00DC1A4F"/>
    <w:rsid w:val="00DC1AD5"/>
    <w:rsid w:val="00DC474D"/>
    <w:rsid w:val="00DC7EA4"/>
    <w:rsid w:val="00DD0CC6"/>
    <w:rsid w:val="00DD1B10"/>
    <w:rsid w:val="00DD2EE2"/>
    <w:rsid w:val="00DE2433"/>
    <w:rsid w:val="00DE2E47"/>
    <w:rsid w:val="00DE2F15"/>
    <w:rsid w:val="00DE3046"/>
    <w:rsid w:val="00DE5D1C"/>
    <w:rsid w:val="00DE6EE6"/>
    <w:rsid w:val="00DF326F"/>
    <w:rsid w:val="00DF5056"/>
    <w:rsid w:val="00DF5FBF"/>
    <w:rsid w:val="00DF6DC6"/>
    <w:rsid w:val="00E007BA"/>
    <w:rsid w:val="00E00E2A"/>
    <w:rsid w:val="00E01990"/>
    <w:rsid w:val="00E04E71"/>
    <w:rsid w:val="00E04FD3"/>
    <w:rsid w:val="00E0604B"/>
    <w:rsid w:val="00E0701B"/>
    <w:rsid w:val="00E07B7F"/>
    <w:rsid w:val="00E1106D"/>
    <w:rsid w:val="00E142B8"/>
    <w:rsid w:val="00E1441F"/>
    <w:rsid w:val="00E1453F"/>
    <w:rsid w:val="00E14F97"/>
    <w:rsid w:val="00E15351"/>
    <w:rsid w:val="00E20E40"/>
    <w:rsid w:val="00E23BA1"/>
    <w:rsid w:val="00E24104"/>
    <w:rsid w:val="00E25C55"/>
    <w:rsid w:val="00E27E90"/>
    <w:rsid w:val="00E30E65"/>
    <w:rsid w:val="00E33100"/>
    <w:rsid w:val="00E33976"/>
    <w:rsid w:val="00E33BF6"/>
    <w:rsid w:val="00E3471C"/>
    <w:rsid w:val="00E34FC7"/>
    <w:rsid w:val="00E36224"/>
    <w:rsid w:val="00E374CE"/>
    <w:rsid w:val="00E42836"/>
    <w:rsid w:val="00E43126"/>
    <w:rsid w:val="00E46632"/>
    <w:rsid w:val="00E46E7C"/>
    <w:rsid w:val="00E47343"/>
    <w:rsid w:val="00E47758"/>
    <w:rsid w:val="00E524F2"/>
    <w:rsid w:val="00E5277A"/>
    <w:rsid w:val="00E536A6"/>
    <w:rsid w:val="00E54AFA"/>
    <w:rsid w:val="00E55281"/>
    <w:rsid w:val="00E578C9"/>
    <w:rsid w:val="00E57E1D"/>
    <w:rsid w:val="00E61992"/>
    <w:rsid w:val="00E628EF"/>
    <w:rsid w:val="00E62E59"/>
    <w:rsid w:val="00E62F5E"/>
    <w:rsid w:val="00E63979"/>
    <w:rsid w:val="00E6408D"/>
    <w:rsid w:val="00E65FE6"/>
    <w:rsid w:val="00E67E81"/>
    <w:rsid w:val="00E705F9"/>
    <w:rsid w:val="00E708E9"/>
    <w:rsid w:val="00E71750"/>
    <w:rsid w:val="00E74978"/>
    <w:rsid w:val="00E75B25"/>
    <w:rsid w:val="00E76845"/>
    <w:rsid w:val="00E76E2E"/>
    <w:rsid w:val="00E80229"/>
    <w:rsid w:val="00E82A7F"/>
    <w:rsid w:val="00E83DAF"/>
    <w:rsid w:val="00E83FBD"/>
    <w:rsid w:val="00E87469"/>
    <w:rsid w:val="00E91237"/>
    <w:rsid w:val="00E94229"/>
    <w:rsid w:val="00E95942"/>
    <w:rsid w:val="00E96740"/>
    <w:rsid w:val="00E9751F"/>
    <w:rsid w:val="00E97F63"/>
    <w:rsid w:val="00EA00FA"/>
    <w:rsid w:val="00EA04D4"/>
    <w:rsid w:val="00EA0B84"/>
    <w:rsid w:val="00EA2E6F"/>
    <w:rsid w:val="00EA33D0"/>
    <w:rsid w:val="00EA4682"/>
    <w:rsid w:val="00EB06A6"/>
    <w:rsid w:val="00EB09AF"/>
    <w:rsid w:val="00EB4323"/>
    <w:rsid w:val="00EB6883"/>
    <w:rsid w:val="00EB689E"/>
    <w:rsid w:val="00EC076E"/>
    <w:rsid w:val="00EC11E8"/>
    <w:rsid w:val="00EC24A0"/>
    <w:rsid w:val="00EC457F"/>
    <w:rsid w:val="00EC5636"/>
    <w:rsid w:val="00EC5C53"/>
    <w:rsid w:val="00EC7B7F"/>
    <w:rsid w:val="00ED1161"/>
    <w:rsid w:val="00ED14AE"/>
    <w:rsid w:val="00ED2C7C"/>
    <w:rsid w:val="00ED5939"/>
    <w:rsid w:val="00ED6A4A"/>
    <w:rsid w:val="00ED7BFC"/>
    <w:rsid w:val="00EE12A6"/>
    <w:rsid w:val="00EE185A"/>
    <w:rsid w:val="00EE18AB"/>
    <w:rsid w:val="00EE2738"/>
    <w:rsid w:val="00EE4833"/>
    <w:rsid w:val="00EE4A22"/>
    <w:rsid w:val="00EE55B7"/>
    <w:rsid w:val="00EE5FC4"/>
    <w:rsid w:val="00EE7781"/>
    <w:rsid w:val="00EE7EC6"/>
    <w:rsid w:val="00EF3882"/>
    <w:rsid w:val="00EF399A"/>
    <w:rsid w:val="00EF454E"/>
    <w:rsid w:val="00EF51EC"/>
    <w:rsid w:val="00EF6604"/>
    <w:rsid w:val="00EF77E7"/>
    <w:rsid w:val="00EF7C47"/>
    <w:rsid w:val="00F01F51"/>
    <w:rsid w:val="00F03244"/>
    <w:rsid w:val="00F06512"/>
    <w:rsid w:val="00F10B48"/>
    <w:rsid w:val="00F1144D"/>
    <w:rsid w:val="00F14F8B"/>
    <w:rsid w:val="00F15410"/>
    <w:rsid w:val="00F1619E"/>
    <w:rsid w:val="00F21262"/>
    <w:rsid w:val="00F22A71"/>
    <w:rsid w:val="00F24206"/>
    <w:rsid w:val="00F24339"/>
    <w:rsid w:val="00F243C2"/>
    <w:rsid w:val="00F243F8"/>
    <w:rsid w:val="00F25741"/>
    <w:rsid w:val="00F25D4E"/>
    <w:rsid w:val="00F25F43"/>
    <w:rsid w:val="00F25F86"/>
    <w:rsid w:val="00F26190"/>
    <w:rsid w:val="00F265DB"/>
    <w:rsid w:val="00F2758A"/>
    <w:rsid w:val="00F31FA2"/>
    <w:rsid w:val="00F32C6F"/>
    <w:rsid w:val="00F32FE6"/>
    <w:rsid w:val="00F33F28"/>
    <w:rsid w:val="00F3416F"/>
    <w:rsid w:val="00F3476D"/>
    <w:rsid w:val="00F34C64"/>
    <w:rsid w:val="00F360D4"/>
    <w:rsid w:val="00F424F6"/>
    <w:rsid w:val="00F4260B"/>
    <w:rsid w:val="00F4349E"/>
    <w:rsid w:val="00F46175"/>
    <w:rsid w:val="00F46F91"/>
    <w:rsid w:val="00F47ADB"/>
    <w:rsid w:val="00F5040F"/>
    <w:rsid w:val="00F508EE"/>
    <w:rsid w:val="00F5130E"/>
    <w:rsid w:val="00F51925"/>
    <w:rsid w:val="00F53A9E"/>
    <w:rsid w:val="00F545AC"/>
    <w:rsid w:val="00F54AFE"/>
    <w:rsid w:val="00F55C0E"/>
    <w:rsid w:val="00F610F3"/>
    <w:rsid w:val="00F6126A"/>
    <w:rsid w:val="00F6143E"/>
    <w:rsid w:val="00F61464"/>
    <w:rsid w:val="00F61A18"/>
    <w:rsid w:val="00F6246D"/>
    <w:rsid w:val="00F62FFD"/>
    <w:rsid w:val="00F65A61"/>
    <w:rsid w:val="00F663BA"/>
    <w:rsid w:val="00F66B7D"/>
    <w:rsid w:val="00F70DC6"/>
    <w:rsid w:val="00F71562"/>
    <w:rsid w:val="00F71942"/>
    <w:rsid w:val="00F71F19"/>
    <w:rsid w:val="00F764ED"/>
    <w:rsid w:val="00F76B9C"/>
    <w:rsid w:val="00F80EA4"/>
    <w:rsid w:val="00F8108A"/>
    <w:rsid w:val="00F82A3D"/>
    <w:rsid w:val="00F85351"/>
    <w:rsid w:val="00F86815"/>
    <w:rsid w:val="00F86C0D"/>
    <w:rsid w:val="00F90A17"/>
    <w:rsid w:val="00F92A87"/>
    <w:rsid w:val="00F938D1"/>
    <w:rsid w:val="00F93C9D"/>
    <w:rsid w:val="00F94BBA"/>
    <w:rsid w:val="00F952E3"/>
    <w:rsid w:val="00F9563B"/>
    <w:rsid w:val="00F95984"/>
    <w:rsid w:val="00F96B3B"/>
    <w:rsid w:val="00F97B70"/>
    <w:rsid w:val="00FA0F55"/>
    <w:rsid w:val="00FA169B"/>
    <w:rsid w:val="00FA24C7"/>
    <w:rsid w:val="00FA2972"/>
    <w:rsid w:val="00FA4A13"/>
    <w:rsid w:val="00FA585E"/>
    <w:rsid w:val="00FA70D9"/>
    <w:rsid w:val="00FA74F6"/>
    <w:rsid w:val="00FB165D"/>
    <w:rsid w:val="00FB33EC"/>
    <w:rsid w:val="00FB38B7"/>
    <w:rsid w:val="00FB4E14"/>
    <w:rsid w:val="00FB6FFA"/>
    <w:rsid w:val="00FB76F5"/>
    <w:rsid w:val="00FC0D22"/>
    <w:rsid w:val="00FC1F9F"/>
    <w:rsid w:val="00FC275B"/>
    <w:rsid w:val="00FC3F55"/>
    <w:rsid w:val="00FC6899"/>
    <w:rsid w:val="00FD030A"/>
    <w:rsid w:val="00FD2949"/>
    <w:rsid w:val="00FD3401"/>
    <w:rsid w:val="00FD3CB4"/>
    <w:rsid w:val="00FD4492"/>
    <w:rsid w:val="00FD7989"/>
    <w:rsid w:val="00FE12DA"/>
    <w:rsid w:val="00FE1A4E"/>
    <w:rsid w:val="00FE5615"/>
    <w:rsid w:val="00FF2BEE"/>
    <w:rsid w:val="00FF50A8"/>
    <w:rsid w:val="00FF6514"/>
    <w:rsid w:val="00FF6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284CDD-3DE2-4D89-814D-9EBDBAB4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2A7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link w:val="ae"/>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f">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B02399"/>
    <w:pPr>
      <w:tabs>
        <w:tab w:val="right" w:leader="hyphen" w:pos="8273"/>
      </w:tabs>
      <w:ind w:leftChars="0" w:left="487" w:rightChars="111" w:right="314" w:hangingChars="200" w:hanging="487"/>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0">
    <w:name w:val="footer"/>
    <w:basedOn w:val="a"/>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e">
    <w:name w:val="前言(一)(二)(三) 字元"/>
    <w:link w:val="ad"/>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qFormat/>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character" w:customStyle="1" w:styleId="ac">
    <w:name w:val="姓名及分機 字元"/>
    <w:link w:val="ab"/>
    <w:rsid w:val="000D4244"/>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724328532">
      <w:bodyDiv w:val="1"/>
      <w:marLeft w:val="0"/>
      <w:marRight w:val="0"/>
      <w:marTop w:val="0"/>
      <w:marBottom w:val="0"/>
      <w:divBdr>
        <w:top w:val="none" w:sz="0" w:space="0" w:color="auto"/>
        <w:left w:val="none" w:sz="0" w:space="0" w:color="auto"/>
        <w:bottom w:val="none" w:sz="0" w:space="0" w:color="auto"/>
        <w:right w:val="none" w:sz="0" w:space="0" w:color="auto"/>
      </w:divBdr>
    </w:div>
    <w:div w:id="8116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148B6-F3EA-41E9-BFC0-1FF4DD4E4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293</Words>
  <Characters>1676</Characters>
  <Application>Microsoft Office Word</Application>
  <DocSecurity>0</DocSecurity>
  <Lines>13</Lines>
  <Paragraphs>3</Paragraphs>
  <ScaleCrop>false</ScaleCrop>
  <Company/>
  <LinksUpToDate>false</LinksUpToDate>
  <CharactersWithSpaces>1966</CharactersWithSpaces>
  <SharedDoc>false</SharedDoc>
  <HLinks>
    <vt:vector size="54" baseType="variant">
      <vt:variant>
        <vt:i4>1376308</vt:i4>
      </vt:variant>
      <vt:variant>
        <vt:i4>50</vt:i4>
      </vt:variant>
      <vt:variant>
        <vt:i4>0</vt:i4>
      </vt:variant>
      <vt:variant>
        <vt:i4>5</vt:i4>
      </vt:variant>
      <vt:variant>
        <vt:lpwstr/>
      </vt:variant>
      <vt:variant>
        <vt:lpwstr>_Toc225435019</vt:lpwstr>
      </vt:variant>
      <vt:variant>
        <vt:i4>1376308</vt:i4>
      </vt:variant>
      <vt:variant>
        <vt:i4>44</vt:i4>
      </vt:variant>
      <vt:variant>
        <vt:i4>0</vt:i4>
      </vt:variant>
      <vt:variant>
        <vt:i4>5</vt:i4>
      </vt:variant>
      <vt:variant>
        <vt:lpwstr/>
      </vt:variant>
      <vt:variant>
        <vt:lpwstr>_Toc225435018</vt:lpwstr>
      </vt:variant>
      <vt:variant>
        <vt:i4>1376308</vt:i4>
      </vt:variant>
      <vt:variant>
        <vt:i4>38</vt:i4>
      </vt:variant>
      <vt:variant>
        <vt:i4>0</vt:i4>
      </vt:variant>
      <vt:variant>
        <vt:i4>5</vt:i4>
      </vt:variant>
      <vt:variant>
        <vt:lpwstr/>
      </vt:variant>
      <vt:variant>
        <vt:lpwstr>_Toc225435017</vt:lpwstr>
      </vt:variant>
      <vt:variant>
        <vt:i4>1376308</vt:i4>
      </vt:variant>
      <vt:variant>
        <vt:i4>32</vt:i4>
      </vt:variant>
      <vt:variant>
        <vt:i4>0</vt:i4>
      </vt:variant>
      <vt:variant>
        <vt:i4>5</vt:i4>
      </vt:variant>
      <vt:variant>
        <vt:lpwstr/>
      </vt:variant>
      <vt:variant>
        <vt:lpwstr>_Toc225435016</vt:lpwstr>
      </vt:variant>
      <vt:variant>
        <vt:i4>1376308</vt:i4>
      </vt:variant>
      <vt:variant>
        <vt:i4>26</vt:i4>
      </vt:variant>
      <vt:variant>
        <vt:i4>0</vt:i4>
      </vt:variant>
      <vt:variant>
        <vt:i4>5</vt:i4>
      </vt:variant>
      <vt:variant>
        <vt:lpwstr/>
      </vt:variant>
      <vt:variant>
        <vt:lpwstr>_Toc225435015</vt:lpwstr>
      </vt:variant>
      <vt:variant>
        <vt:i4>1376308</vt:i4>
      </vt:variant>
      <vt:variant>
        <vt:i4>20</vt:i4>
      </vt:variant>
      <vt:variant>
        <vt:i4>0</vt:i4>
      </vt:variant>
      <vt:variant>
        <vt:i4>5</vt:i4>
      </vt:variant>
      <vt:variant>
        <vt:lpwstr/>
      </vt:variant>
      <vt:variant>
        <vt:lpwstr>_Toc225435014</vt:lpwstr>
      </vt:variant>
      <vt:variant>
        <vt:i4>1376308</vt:i4>
      </vt:variant>
      <vt:variant>
        <vt:i4>14</vt:i4>
      </vt:variant>
      <vt:variant>
        <vt:i4>0</vt:i4>
      </vt:variant>
      <vt:variant>
        <vt:i4>5</vt:i4>
      </vt:variant>
      <vt:variant>
        <vt:lpwstr/>
      </vt:variant>
      <vt:variant>
        <vt:lpwstr>_Toc225435013</vt:lpwstr>
      </vt:variant>
      <vt:variant>
        <vt:i4>1376308</vt:i4>
      </vt:variant>
      <vt:variant>
        <vt:i4>8</vt:i4>
      </vt:variant>
      <vt:variant>
        <vt:i4>0</vt:i4>
      </vt:variant>
      <vt:variant>
        <vt:i4>5</vt:i4>
      </vt:variant>
      <vt:variant>
        <vt:lpwstr/>
      </vt:variant>
      <vt:variant>
        <vt:lpwstr>_Toc225435012</vt:lpwstr>
      </vt:variant>
      <vt:variant>
        <vt:i4>1376308</vt:i4>
      </vt:variant>
      <vt:variant>
        <vt:i4>2</vt:i4>
      </vt:variant>
      <vt:variant>
        <vt:i4>0</vt:i4>
      </vt:variant>
      <vt:variant>
        <vt:i4>5</vt:i4>
      </vt:variant>
      <vt:variant>
        <vt:lpwstr/>
      </vt:variant>
      <vt:variant>
        <vt:lpwstr>_Toc225435011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2026-03-26T08:56:00Z</cp:lastPrinted>
  <dcterms:created xsi:type="dcterms:W3CDTF">2026-04-01T02:38:00Z</dcterms:created>
  <dcterms:modified xsi:type="dcterms:W3CDTF">2026-04-01T02:38:00Z</dcterms:modified>
</cp:coreProperties>
</file>